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distribute"/>
        <w:rPr>
          <w:rFonts w:ascii="原版宋体" w:hAnsi="原版宋体" w:eastAsia="方正小标宋简体" w:cs="Times New Roman"/>
          <w:color w:val="FF0000"/>
          <w:w w:val="80"/>
          <w:sz w:val="102"/>
          <w:szCs w:val="136"/>
        </w:rPr>
      </w:pPr>
      <w:bookmarkStart w:id="26" w:name="_GoBack"/>
      <w:bookmarkEnd w:id="26"/>
      <w:r>
        <w:rPr>
          <w:rFonts w:ascii="原版宋体" w:hAnsi="原版宋体" w:eastAsia="方正小标宋简体" w:cs="Times New Roman"/>
          <w:color w:val="FF0000"/>
          <w:w w:val="80"/>
          <w:sz w:val="102"/>
          <w:szCs w:val="136"/>
        </w:rPr>
        <w:t>湖南省卫生健康委员会</w:t>
      </w:r>
    </w:p>
    <w:p>
      <w:pPr>
        <w:spacing w:line="1100" w:lineRule="exact"/>
        <w:jc w:val="center"/>
        <w:rPr>
          <w:rFonts w:ascii="原版宋体" w:hAnsi="原版宋体" w:eastAsia="方正小标宋简体" w:cs="Times New Roman"/>
          <w:color w:val="FF0000"/>
          <w:w w:val="80"/>
          <w:sz w:val="102"/>
          <w:szCs w:val="136"/>
        </w:rPr>
      </w:pPr>
      <w:r>
        <w:rPr>
          <w:rFonts w:ascii="原版宋体" w:hAnsi="原版宋体" w:eastAsia="方正小标宋简体" w:cs="Times New Roman"/>
          <w:color w:val="FF0000"/>
          <w:w w:val="80"/>
          <w:sz w:val="102"/>
          <w:szCs w:val="136"/>
        </w:rPr>
        <w:t>公  告</w:t>
      </w:r>
    </w:p>
    <w:p>
      <w:pPr>
        <w:spacing w:line="480" w:lineRule="exact"/>
        <w:jc w:val="center"/>
        <w:rPr>
          <w:rFonts w:ascii="原版宋体" w:hAnsi="原版宋体" w:eastAsia="仿宋_GB2312" w:cs="Times New Roman"/>
          <w:sz w:val="32"/>
          <w:szCs w:val="32"/>
        </w:rPr>
      </w:pPr>
    </w:p>
    <w:p>
      <w:pPr>
        <w:spacing w:line="480" w:lineRule="exact"/>
        <w:jc w:val="center"/>
        <w:rPr>
          <w:rFonts w:ascii="原版宋体" w:hAnsi="原版宋体" w:eastAsia="仿宋_GB2312" w:cs="Times New Roman"/>
          <w:sz w:val="32"/>
          <w:szCs w:val="32"/>
        </w:rPr>
      </w:pPr>
    </w:p>
    <w:p>
      <w:pPr>
        <w:spacing w:line="480" w:lineRule="exact"/>
        <w:jc w:val="center"/>
        <w:rPr>
          <w:rFonts w:ascii="原版宋体" w:hAnsi="原版宋体" w:eastAsia="仿宋_GB2312" w:cs="Times New Roman"/>
          <w:sz w:val="32"/>
          <w:szCs w:val="32"/>
        </w:rPr>
      </w:pPr>
      <w:r>
        <w:rPr>
          <w:rFonts w:hint="default" w:ascii="原版宋体" w:hAnsi="原版宋体" w:eastAsia="仿宋_GB2312" w:cs="Times New Roman"/>
          <w:sz w:val="32"/>
          <w:szCs w:val="32"/>
        </w:rPr>
        <w:t>202</w:t>
      </w:r>
      <w:r>
        <w:rPr>
          <w:rFonts w:hint="default" w:ascii="原版宋体" w:hAnsi="原版宋体" w:eastAsia="仿宋_GB2312" w:cs="Times New Roman"/>
          <w:sz w:val="32"/>
          <w:szCs w:val="32"/>
          <w:lang w:val="en"/>
        </w:rPr>
        <w:t>2</w:t>
      </w:r>
      <w:r>
        <w:rPr>
          <w:rFonts w:hint="default" w:ascii="原版宋体" w:hAnsi="原版宋体" w:eastAsia="仿宋_GB2312" w:cs="Times New Roman"/>
          <w:sz w:val="32"/>
          <w:szCs w:val="32"/>
        </w:rPr>
        <w:t>年第</w:t>
      </w:r>
      <w:r>
        <w:rPr>
          <w:rFonts w:hint="default" w:ascii="原版宋体" w:hAnsi="原版宋体" w:eastAsia="仿宋_GB2312" w:cs="Times New Roman"/>
          <w:sz w:val="32"/>
          <w:szCs w:val="32"/>
          <w:lang w:val="en"/>
        </w:rPr>
        <w:t>5</w:t>
      </w:r>
      <w:r>
        <w:rPr>
          <w:rFonts w:hint="default" w:ascii="原版宋体" w:hAnsi="原版宋体" w:eastAsia="仿宋_GB2312" w:cs="Times New Roman"/>
          <w:sz w:val="32"/>
          <w:szCs w:val="32"/>
        </w:rPr>
        <w:t>号</w:t>
      </w:r>
    </w:p>
    <w:p>
      <w:pPr>
        <w:spacing w:line="480" w:lineRule="exact"/>
        <w:ind w:firstLine="640" w:firstLineChars="200"/>
        <w:rPr>
          <w:rFonts w:hint="default" w:ascii="原版宋体" w:hAnsi="原版宋体" w:eastAsia="仿宋_GB2312" w:cs="Times New Roman"/>
          <w:sz w:val="32"/>
          <w:szCs w:val="32"/>
        </w:rPr>
      </w:pPr>
    </w:p>
    <w:p>
      <w:pPr>
        <w:spacing w:line="480" w:lineRule="exact"/>
        <w:rPr>
          <w:rFonts w:hint="default" w:ascii="原版宋体" w:hAnsi="原版宋体" w:eastAsia="仿宋_GB2312" w:cs="Times New Roman"/>
          <w:sz w:val="32"/>
          <w:lang w:val="en-US" w:eastAsia="zh-CN"/>
        </w:rPr>
      </w:pPr>
      <w:r>
        <w:rPr>
          <w:rFonts w:hint="default" w:ascii="原版宋体" w:hAnsi="原版宋体" w:eastAsia="仿宋_GB2312" w:cs="Times New Roman"/>
          <w:sz w:val="32"/>
        </w:rPr>
        <w:t>根据《中华人民共和国食品安全法》和国家卫生健康委关于进一步规范食品安全地方标准管理的有关工作要求，经湖南省食品安全地方标准审评委员会审查通过</w:t>
      </w:r>
      <w:r>
        <w:rPr>
          <w:rFonts w:ascii="原版宋体" w:hAnsi="原版宋体" w:eastAsia="仿宋_GB2312" w:cs="Times New Roman"/>
          <w:sz w:val="32"/>
        </w:rPr>
        <w:t>，现发布《食品安全地方标准</w:t>
      </w:r>
      <w:r>
        <w:rPr>
          <w:rFonts w:hint="default" w:ascii="原版宋体" w:hAnsi="原版宋体" w:eastAsia="仿宋_GB2312" w:cs="Times New Roman"/>
          <w:sz w:val="32"/>
        </w:rPr>
        <w:t xml:space="preserve"> </w:t>
      </w:r>
      <w:r>
        <w:rPr>
          <w:rFonts w:hint="default" w:ascii="原版宋体" w:hAnsi="原版宋体" w:eastAsia="仿宋_GB2312" w:cs="Times New Roman"/>
          <w:sz w:val="32"/>
        </w:rPr>
        <w:t>铁皮石斛</w:t>
      </w:r>
      <w:r>
        <w:rPr>
          <w:rFonts w:ascii="原版宋体" w:hAnsi="原版宋体" w:eastAsia="仿宋_GB2312" w:cs="Times New Roman"/>
          <w:sz w:val="32"/>
        </w:rPr>
        <w:t>》（</w:t>
      </w:r>
      <w:r>
        <w:rPr>
          <w:rFonts w:hint="default" w:ascii="原版宋体" w:hAnsi="原版宋体" w:eastAsia="仿宋_GB2312" w:cs="Times New Roman"/>
          <w:sz w:val="32"/>
        </w:rPr>
        <w:t>DBS43/</w:t>
      </w:r>
      <w:r>
        <w:rPr>
          <w:rFonts w:hint="default" w:ascii="原版宋体" w:hAnsi="原版宋体" w:eastAsia="仿宋_GB2312" w:cs="Times New Roman"/>
          <w:sz w:val="32"/>
        </w:rPr>
        <w:t>013—</w:t>
      </w:r>
      <w:r>
        <w:rPr>
          <w:rFonts w:hint="default" w:ascii="原版宋体" w:hAnsi="原版宋体" w:eastAsia="仿宋_GB2312" w:cs="Times New Roman"/>
          <w:sz w:val="32"/>
        </w:rPr>
        <w:t>2022</w:t>
      </w:r>
      <w:r>
        <w:rPr>
          <w:rFonts w:ascii="原版宋体" w:hAnsi="原版宋体" w:eastAsia="仿宋_GB2312" w:cs="Times New Roman"/>
          <w:sz w:val="32"/>
        </w:rPr>
        <w:t>）</w:t>
      </w:r>
      <w:r>
        <w:rPr>
          <w:rFonts w:ascii="原版宋体" w:hAnsi="原版宋体" w:eastAsia="仿宋_GB2312" w:cs="Times New Roman"/>
          <w:sz w:val="32"/>
        </w:rPr>
        <w:t>、《</w:t>
      </w:r>
      <w:r>
        <w:rPr>
          <w:rFonts w:hint="default" w:ascii="原版宋体" w:hAnsi="原版宋体" w:eastAsia="仿宋_GB2312" w:cs="Times New Roman"/>
          <w:sz w:val="32"/>
        </w:rPr>
        <w:t>食品安全地方标准 茯苓》（DBS43/014—2022）</w:t>
      </w:r>
      <w:r>
        <w:rPr>
          <w:rFonts w:hint="default" w:ascii="原版宋体" w:hAnsi="原版宋体" w:eastAsia="仿宋_GB2312" w:cs="Times New Roman"/>
          <w:sz w:val="32"/>
          <w:lang w:eastAsia="zh-CN"/>
        </w:rPr>
        <w:t>和</w:t>
      </w:r>
      <w:r>
        <w:rPr>
          <w:rFonts w:hint="default" w:ascii="原版宋体" w:hAnsi="原版宋体" w:eastAsia="仿宋_GB2312" w:cs="Times New Roman"/>
          <w:sz w:val="32"/>
        </w:rPr>
        <w:t>《食品安全地方标准 中央厨房卫生规范》（DBS43/015—2022）</w:t>
      </w:r>
      <w:r>
        <w:rPr>
          <w:rFonts w:ascii="原版宋体" w:hAnsi="原版宋体" w:eastAsia="仿宋_GB2312" w:cs="Times New Roman"/>
          <w:sz w:val="32"/>
        </w:rPr>
        <w:t>。</w:t>
      </w:r>
    </w:p>
    <w:p>
      <w:pPr>
        <w:spacing w:line="480" w:lineRule="exact"/>
        <w:rPr>
          <w:rFonts w:hint="default" w:ascii="原版宋体" w:hAnsi="原版宋体" w:eastAsia="仿宋_GB2312" w:cs="Times New Roman"/>
          <w:sz w:val="32"/>
          <w:lang w:val="en-US" w:eastAsia="zh-CN"/>
        </w:rPr>
      </w:pPr>
      <w:r>
        <w:rPr>
          <w:rFonts w:hint="default" w:ascii="原版宋体" w:hAnsi="原版宋体" w:eastAsia="仿宋_GB2312" w:cs="Times New Roman"/>
          <w:sz w:val="32"/>
          <w:lang w:val="en" w:eastAsia="zh-CN"/>
        </w:rPr>
        <w:t xml:space="preserve">    </w:t>
      </w:r>
      <w:r>
        <w:rPr>
          <w:rFonts w:hint="default" w:ascii="原版宋体" w:hAnsi="原版宋体" w:eastAsia="仿宋_GB2312" w:cs="Times New Roman"/>
          <w:sz w:val="32"/>
          <w:lang w:val="en-US" w:eastAsia="zh-CN"/>
        </w:rPr>
        <w:t>上述标准自202</w:t>
      </w:r>
      <w:r>
        <w:rPr>
          <w:rFonts w:hint="default" w:ascii="原版宋体" w:hAnsi="原版宋体" w:eastAsia="仿宋_GB2312" w:cs="Times New Roman"/>
          <w:sz w:val="32"/>
          <w:lang w:val="en" w:eastAsia="zh-CN"/>
        </w:rPr>
        <w:t>3</w:t>
      </w:r>
      <w:r>
        <w:rPr>
          <w:rFonts w:hint="default" w:ascii="原版宋体" w:hAnsi="原版宋体" w:eastAsia="仿宋_GB2312" w:cs="Times New Roman"/>
          <w:sz w:val="32"/>
          <w:lang w:val="en-US" w:eastAsia="zh-CN"/>
        </w:rPr>
        <w:t>年</w:t>
      </w:r>
      <w:r>
        <w:rPr>
          <w:rFonts w:hint="default" w:ascii="原版宋体" w:hAnsi="原版宋体" w:eastAsia="仿宋_GB2312" w:cs="Times New Roman"/>
          <w:sz w:val="32"/>
          <w:lang w:val="en" w:eastAsia="zh-CN"/>
        </w:rPr>
        <w:t>6</w:t>
      </w:r>
      <w:r>
        <w:rPr>
          <w:rFonts w:hint="default" w:ascii="原版宋体" w:hAnsi="原版宋体" w:eastAsia="仿宋_GB2312" w:cs="Times New Roman"/>
          <w:sz w:val="32"/>
          <w:lang w:val="en-US" w:eastAsia="zh-CN"/>
        </w:rPr>
        <w:t>月</w:t>
      </w:r>
      <w:r>
        <w:rPr>
          <w:rFonts w:hint="default" w:ascii="原版宋体" w:hAnsi="原版宋体" w:eastAsia="仿宋_GB2312" w:cs="Times New Roman"/>
          <w:sz w:val="32"/>
          <w:lang w:val="en" w:eastAsia="zh-CN"/>
        </w:rPr>
        <w:t>19</w:t>
      </w:r>
      <w:r>
        <w:rPr>
          <w:rFonts w:hint="default" w:ascii="原版宋体" w:hAnsi="原版宋体" w:eastAsia="仿宋_GB2312" w:cs="Times New Roman"/>
          <w:sz w:val="32"/>
          <w:lang w:val="en-US" w:eastAsia="zh-CN"/>
        </w:rPr>
        <w:t>日起施行。</w:t>
      </w:r>
    </w:p>
    <w:p>
      <w:pPr>
        <w:spacing w:line="480" w:lineRule="exact"/>
        <w:ind w:firstLine="160" w:firstLineChars="50"/>
        <w:rPr>
          <w:rFonts w:hint="default" w:ascii="原版宋体" w:hAnsi="原版宋体" w:eastAsia="仿宋_GB2312" w:cs="Times New Roman"/>
          <w:lang w:val="en-US" w:eastAsia="zh-CN"/>
        </w:rPr>
      </w:pPr>
      <w:r>
        <w:rPr>
          <w:rFonts w:hint="default" w:ascii="原版宋体" w:hAnsi="原版宋体" w:eastAsia="仿宋_GB2312" w:cs="Times New Roman"/>
          <w:sz w:val="32"/>
          <w:lang w:val="en-US" w:eastAsia="zh-CN"/>
        </w:rPr>
        <w:t xml:space="preserve">   特此通告。</w:t>
      </w:r>
    </w:p>
    <w:p>
      <w:pPr>
        <w:spacing w:line="480" w:lineRule="exact"/>
        <w:ind w:firstLine="640" w:firstLineChars="200"/>
        <w:rPr>
          <w:rFonts w:ascii="原版宋体" w:hAnsi="原版宋体" w:eastAsia="仿宋_GB2312" w:cs="Times New Roman"/>
          <w:sz w:val="32"/>
        </w:rPr>
      </w:pPr>
    </w:p>
    <w:p>
      <w:pPr>
        <w:spacing w:line="480" w:lineRule="exact"/>
        <w:ind w:left="0" w:leftChars="0" w:firstLine="640" w:firstLineChars="200"/>
        <w:rPr>
          <w:rFonts w:ascii="原版宋体" w:hAnsi="原版宋体" w:eastAsia="仿宋_GB2312" w:cs="Times New Roman"/>
          <w:sz w:val="32"/>
        </w:rPr>
      </w:pPr>
      <w:r>
        <w:rPr>
          <w:rFonts w:hint="default" w:ascii="原版宋体" w:hAnsi="原版宋体" w:eastAsia="仿宋_GB2312" w:cs="Times New Roman"/>
          <w:sz w:val="32"/>
        </w:rPr>
        <w:t>附件：1</w:t>
      </w:r>
      <w:r>
        <w:rPr>
          <w:rFonts w:ascii="原版宋体" w:hAnsi="原版宋体" w:eastAsia="仿宋_GB2312" w:cs="Times New Roman"/>
          <w:sz w:val="32"/>
        </w:rPr>
        <w:t>.</w:t>
      </w:r>
      <w:r>
        <w:rPr>
          <w:rFonts w:hint="default" w:ascii="原版宋体" w:hAnsi="原版宋体" w:eastAsia="仿宋_GB2312" w:cs="Times New Roman"/>
          <w:sz w:val="32"/>
        </w:rPr>
        <w:t>《食品安全地方标准 铁皮石斛》（DBS43/013—2022）</w:t>
      </w:r>
    </w:p>
    <w:p>
      <w:pPr>
        <w:spacing w:line="480" w:lineRule="exact"/>
        <w:ind w:left="0" w:leftChars="0" w:firstLine="1440" w:firstLineChars="450"/>
        <w:rPr>
          <w:rFonts w:ascii="原版宋体" w:hAnsi="原版宋体" w:eastAsia="仿宋_GB2312" w:cs="Times New Roman"/>
          <w:sz w:val="32"/>
        </w:rPr>
      </w:pPr>
      <w:r>
        <w:rPr>
          <w:rFonts w:hint="default" w:ascii="原版宋体" w:hAnsi="原版宋体" w:eastAsia="仿宋_GB2312" w:cs="Times New Roman"/>
          <w:sz w:val="32"/>
        </w:rPr>
        <w:t>2.《食品安全地方标准 茯苓》（DBS43/014—2022）</w:t>
      </w:r>
    </w:p>
    <w:p>
      <w:pPr>
        <w:spacing w:line="480" w:lineRule="exact"/>
        <w:ind w:left="0" w:leftChars="0" w:firstLine="1440" w:firstLineChars="450"/>
        <w:rPr>
          <w:rFonts w:hint="default" w:ascii="原版宋体" w:hAnsi="原版宋体" w:eastAsia="仿宋_GB2312" w:cs="Times New Roman"/>
          <w:sz w:val="32"/>
        </w:rPr>
      </w:pPr>
      <w:r>
        <w:rPr>
          <w:rFonts w:hint="default" w:ascii="原版宋体" w:hAnsi="原版宋体" w:eastAsia="仿宋_GB2312" w:cs="Times New Roman"/>
          <w:sz w:val="32"/>
        </w:rPr>
        <w:t>3.《食品安全地方标准 中央厨房卫生规范》（DBS43/</w:t>
      </w:r>
    </w:p>
    <w:p>
      <w:pPr>
        <w:spacing w:line="480" w:lineRule="exact"/>
        <w:ind w:left="0" w:leftChars="0" w:firstLine="1920" w:firstLineChars="600"/>
        <w:rPr>
          <w:rFonts w:hint="default" w:ascii="原版宋体" w:hAnsi="原版宋体" w:eastAsia="仿宋_GB2312" w:cs="Times New Roman"/>
          <w:sz w:val="32"/>
        </w:rPr>
      </w:pPr>
      <w:r>
        <w:rPr>
          <w:rFonts w:hint="default" w:ascii="原版宋体" w:hAnsi="原版宋体" w:eastAsia="仿宋_GB2312" w:cs="Times New Roman"/>
          <w:sz w:val="32"/>
        </w:rPr>
        <w:t>015—2022）</w:t>
      </w:r>
    </w:p>
    <w:p>
      <w:pPr>
        <w:spacing w:line="480" w:lineRule="exact"/>
        <w:ind w:left="0" w:leftChars="0" w:firstLine="1920" w:firstLineChars="600"/>
        <w:rPr>
          <w:rFonts w:hint="default" w:ascii="原版宋体" w:hAnsi="原版宋体" w:eastAsia="仿宋_GB2312" w:cs="Times New Roman"/>
          <w:sz w:val="32"/>
        </w:rPr>
      </w:pPr>
    </w:p>
    <w:p>
      <w:pPr>
        <w:spacing w:line="480" w:lineRule="exact"/>
        <w:ind w:right="0" w:rightChars="0" w:firstLine="5120" w:firstLineChars="1600"/>
        <w:jc w:val="left"/>
        <w:rPr>
          <w:rFonts w:ascii="原版宋体" w:hAnsi="原版宋体" w:eastAsia="仿宋_GB2312" w:cs="Times New Roman"/>
          <w:sz w:val="32"/>
        </w:rPr>
      </w:pPr>
      <w:r>
        <w:rPr>
          <w:rFonts w:hint="default" w:ascii="原版宋体" w:hAnsi="原版宋体" w:eastAsia="仿宋_GB2312" w:cs="Times New Roman"/>
          <w:sz w:val="32"/>
          <w:lang w:eastAsia="zh-CN"/>
        </w:rPr>
        <w:t>湖</w:t>
      </w:r>
      <w:r>
        <w:rPr>
          <w:rFonts w:hint="default" w:ascii="原版宋体" w:hAnsi="原版宋体" w:eastAsia="仿宋_GB2312" w:cs="Times New Roman"/>
          <w:sz w:val="32"/>
        </w:rPr>
        <w:t>南省卫生健康委</w:t>
      </w:r>
    </w:p>
    <w:p>
      <w:pPr>
        <w:spacing w:line="480" w:lineRule="exact"/>
        <w:ind w:right="840" w:rightChars="400" w:firstLine="4800" w:firstLineChars="1500"/>
        <w:jc w:val="center"/>
        <w:rPr>
          <w:rFonts w:ascii="原版宋体" w:hAnsi="原版宋体" w:eastAsia="黑体" w:cs="Times New Roman"/>
          <w:sz w:val="32"/>
          <w:szCs w:val="32"/>
        </w:rPr>
      </w:pPr>
      <w:r>
        <w:rPr>
          <w:rFonts w:hint="default" w:ascii="原版宋体" w:hAnsi="原版宋体" w:eastAsia="仿宋_GB2312" w:cs="Times New Roman"/>
          <w:sz w:val="32"/>
        </w:rPr>
        <w:t>2022年</w:t>
      </w:r>
      <w:r>
        <w:rPr>
          <w:rFonts w:hint="default" w:ascii="原版宋体" w:hAnsi="原版宋体" w:eastAsia="仿宋_GB2312" w:cs="Times New Roman"/>
          <w:sz w:val="32"/>
          <w:lang w:val="en-US" w:eastAsia="zh-CN"/>
        </w:rPr>
        <w:t>12</w:t>
      </w:r>
      <w:r>
        <w:rPr>
          <w:rFonts w:hint="default" w:ascii="原版宋体" w:hAnsi="原版宋体" w:eastAsia="仿宋_GB2312" w:cs="Times New Roman"/>
          <w:sz w:val="32"/>
        </w:rPr>
        <w:t>月</w:t>
      </w:r>
      <w:r>
        <w:rPr>
          <w:rFonts w:hint="default" w:ascii="原版宋体" w:hAnsi="原版宋体" w:eastAsia="仿宋_GB2312" w:cs="Times New Roman"/>
          <w:sz w:val="32"/>
          <w:lang w:val="en"/>
        </w:rPr>
        <w:t>9</w:t>
      </w:r>
      <w:r>
        <w:rPr>
          <w:rFonts w:hint="default" w:ascii="原版宋体" w:hAnsi="原版宋体" w:eastAsia="仿宋_GB2312" w:cs="Times New Roman"/>
          <w:sz w:val="32"/>
        </w:rPr>
        <w:t>日</w:t>
      </w:r>
    </w:p>
    <w:p>
      <w:pPr>
        <w:widowControl/>
        <w:jc w:val="left"/>
        <w:rPr>
          <w:rFonts w:ascii="原版宋体" w:hAnsi="原版宋体" w:eastAsia="黑体" w:cs="Times New Roman"/>
          <w:sz w:val="32"/>
          <w:szCs w:val="32"/>
        </w:rPr>
        <w:sectPr>
          <w:footerReference r:id="rId5" w:type="first"/>
          <w:headerReference r:id="rId3" w:type="default"/>
          <w:footerReference r:id="rId4" w:type="default"/>
          <w:pgSz w:w="11900" w:h="16840"/>
          <w:pgMar w:top="2098" w:right="1474" w:bottom="1984" w:left="1587" w:header="850" w:footer="1191" w:gutter="0"/>
          <w:pgNumType w:fmt="decimal" w:start="1"/>
          <w:cols w:space="0" w:num="1"/>
          <w:rtlGutter w:val="0"/>
          <w:docGrid w:type="lines" w:linePitch="579" w:charSpace="0"/>
        </w:sectPr>
      </w:pPr>
    </w:p>
    <w:p>
      <w:pPr>
        <w:spacing w:before="0" w:beforeLines="-2147483648" w:after="0" w:afterLines="-2147483648" w:line="360" w:lineRule="auto"/>
        <w:jc w:val="left"/>
        <w:outlineLvl w:val="9"/>
        <w:rPr>
          <w:rFonts w:ascii="原版宋体" w:hAnsi="原版宋体" w:eastAsia="黑体" w:cs="Times New Roman"/>
          <w:sz w:val="32"/>
          <w:szCs w:val="32"/>
        </w:rPr>
      </w:pPr>
      <w:r>
        <w:rPr>
          <w:rFonts w:hint="default" w:ascii="原版宋体" w:hAnsi="原版宋体" w:eastAsia="黑体" w:cs="Times New Roman"/>
          <w:sz w:val="32"/>
          <w:szCs w:val="32"/>
          <w:lang w:val="en"/>
        </w:rPr>
        <w:t>附件</w:t>
      </w:r>
      <w:r>
        <w:rPr>
          <w:rFonts w:hint="default" w:ascii="原版宋体" w:hAnsi="原版宋体" w:eastAsia="黑体" w:cs="Times New Roman"/>
          <w:sz w:val="32"/>
          <w:szCs w:val="32"/>
        </w:rPr>
        <w:t>1</w:t>
      </w:r>
    </w:p>
    <w:tbl>
      <w:tblPr>
        <w:tblStyle w:val="9"/>
        <w:tblpPr w:leftFromText="180" w:rightFromText="180" w:vertAnchor="text" w:horzAnchor="page" w:tblpX="1145" w:tblpY="94"/>
        <w:tblOverlap w:val="never"/>
        <w:tblW w:w="9885" w:type="dxa"/>
        <w:tblInd w:w="0" w:type="dxa"/>
        <w:tblLayout w:type="fixed"/>
        <w:tblCellMar>
          <w:top w:w="0" w:type="dxa"/>
          <w:left w:w="0" w:type="dxa"/>
          <w:bottom w:w="0" w:type="dxa"/>
          <w:right w:w="0" w:type="dxa"/>
        </w:tblCellMar>
      </w:tblPr>
      <w:tblGrid>
        <w:gridCol w:w="9645"/>
        <w:gridCol w:w="240"/>
      </w:tblGrid>
      <w:tr>
        <w:trPr>
          <w:cantSplit/>
          <w:trHeight w:val="1686" w:hRule="atLeast"/>
        </w:trPr>
        <w:tc>
          <w:tcPr>
            <w:tcW w:w="9645" w:type="dxa"/>
          </w:tcPr>
          <w:p>
            <w:pPr>
              <w:ind w:right="851"/>
              <w:jc w:val="right"/>
              <w:rPr>
                <w:rFonts w:ascii="原版宋体" w:hAnsi="原版宋体" w:eastAsia="宋体" w:cs="Times New Roman"/>
                <w:bCs/>
                <w:spacing w:val="-42"/>
                <w:w w:val="110"/>
                <w:kern w:val="1"/>
                <w:sz w:val="108"/>
                <w:szCs w:val="108"/>
                <w:lang w:bidi="en-US"/>
              </w:rPr>
            </w:pPr>
            <w:r>
              <w:rPr>
                <w:rFonts w:ascii="原版宋体" w:hAnsi="原版宋体" w:eastAsia="宋体" w:cs="Times New Roman"/>
                <w:bCs/>
                <w:w w:val="130"/>
                <w:kern w:val="0"/>
                <w:sz w:val="108"/>
                <w:szCs w:val="108"/>
                <w:lang w:bidi="en-US"/>
              </w:rPr>
              <w:t xml:space="preserve"> </w:t>
            </w:r>
            <w:r>
              <w:rPr>
                <w:rFonts w:ascii="原版宋体" w:hAnsi="原版宋体" w:eastAsia="Times New Roman" w:cs="Times New Roman"/>
                <w:bCs/>
                <w:w w:val="130"/>
                <w:kern w:val="0"/>
                <w:sz w:val="108"/>
                <w:szCs w:val="108"/>
                <w:lang w:bidi="en-US"/>
              </w:rPr>
              <w:t xml:space="preserve"> </w:t>
            </w:r>
            <w:r>
              <w:rPr>
                <w:rFonts w:ascii="原版宋体" w:hAnsi="原版宋体" w:eastAsia="Times New Roman" w:cs="Times New Roman"/>
                <w:bCs/>
                <w:w w:val="130"/>
                <w:kern w:val="0"/>
                <w:sz w:val="108"/>
                <w:szCs w:val="108"/>
                <w:lang w:eastAsia="en-US" w:bidi="en-US"/>
              </w:rPr>
              <w:t>DBS 43</w:t>
            </w:r>
          </w:p>
        </w:tc>
        <w:tc>
          <w:tcPr>
            <w:tcW w:w="240" w:type="dxa"/>
            <w:vAlign w:val="center"/>
          </w:tcPr>
          <w:p>
            <w:pPr>
              <w:jc w:val="right"/>
              <w:rPr>
                <w:rFonts w:ascii="原版宋体" w:hAnsi="原版宋体" w:eastAsia="Times New Roman" w:cs="Times New Roman"/>
                <w:bCs/>
                <w:kern w:val="1"/>
                <w:sz w:val="112"/>
                <w:szCs w:val="112"/>
                <w:lang w:eastAsia="en-US" w:bidi="en-US"/>
              </w:rPr>
            </w:pPr>
          </w:p>
        </w:tc>
      </w:tr>
      <w:tr>
        <w:trPr>
          <w:cantSplit/>
          <w:trHeight w:val="1111" w:hRule="atLeast"/>
        </w:trPr>
        <w:tc>
          <w:tcPr>
            <w:tcW w:w="9885" w:type="dxa"/>
            <w:gridSpan w:val="2"/>
            <w:vAlign w:val="center"/>
          </w:tcPr>
          <w:p>
            <w:pPr>
              <w:ind w:right="172"/>
              <w:jc w:val="distribute"/>
              <w:rPr>
                <w:rFonts w:ascii="原版宋体" w:hAnsi="原版宋体" w:eastAsia="Times New Roman" w:cs="Times New Roman"/>
                <w:bCs/>
                <w:spacing w:val="-39"/>
                <w:kern w:val="1"/>
                <w:sz w:val="52"/>
                <w:szCs w:val="52"/>
                <w:lang w:bidi="en-US"/>
              </w:rPr>
            </w:pPr>
            <w:r>
              <w:rPr>
                <w:rFonts w:hint="default" w:ascii="原版宋体" w:hAnsi="原版宋体" w:eastAsia="黑体" w:cs="Times New Roman"/>
                <w:bCs/>
                <w:spacing w:val="-40"/>
                <w:w w:val="120"/>
                <w:kern w:val="0"/>
                <w:sz w:val="52"/>
                <w:szCs w:val="52"/>
                <w:lang w:bidi="en-US"/>
              </w:rPr>
              <w:t>湖</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南</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省</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食</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品</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安</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全</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地</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方</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标</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准</w:t>
            </w:r>
          </w:p>
        </w:tc>
      </w:tr>
      <w:tr>
        <w:trPr>
          <w:cantSplit/>
          <w:trHeight w:val="913" w:hRule="atLeast"/>
        </w:trPr>
        <w:tc>
          <w:tcPr>
            <w:tcW w:w="9645" w:type="dxa"/>
          </w:tcPr>
          <w:p>
            <w:pPr>
              <w:jc w:val="right"/>
              <w:rPr>
                <w:rFonts w:ascii="原版宋体" w:hAnsi="原版宋体" w:eastAsia="黑体" w:cs="Times New Roman"/>
                <w:bCs/>
                <w:kern w:val="0"/>
                <w:sz w:val="28"/>
                <w:szCs w:val="28"/>
                <w:lang w:bidi="en-US"/>
              </w:rPr>
            </w:pPr>
            <w:r>
              <w:rPr>
                <w:rFonts w:ascii="原版宋体" w:hAnsi="原版宋体" w:eastAsia="Times New Roman" w:cs="Times New Roman"/>
                <w:kern w:val="0"/>
                <w:sz w:val="24"/>
                <w:szCs w:val="24"/>
              </w:rPr>
              <mc:AlternateContent>
                <mc:Choice Requires="wps">
                  <w:drawing>
                    <wp:anchor distT="0" distB="0" distL="114300" distR="114300" simplePos="0" relativeHeight="251659264" behindDoc="0" locked="0" layoutInCell="1" allowOverlap="1">
                      <wp:simplePos x="0" y="0"/>
                      <wp:positionH relativeFrom="column">
                        <wp:posOffset>21590</wp:posOffset>
                      </wp:positionH>
                      <wp:positionV relativeFrom="paragraph">
                        <wp:posOffset>365760</wp:posOffset>
                      </wp:positionV>
                      <wp:extent cx="6134100" cy="0"/>
                      <wp:effectExtent l="0" t="7620" r="7620" b="15240"/>
                      <wp:wrapNone/>
                      <wp:docPr id="16" name="直接连接符 16"/>
                      <wp:cNvGraphicFramePr/>
                      <a:graphic xmlns:a="http://schemas.openxmlformats.org/drawingml/2006/main">
                        <a:graphicData uri="http://schemas.microsoft.com/office/word/2010/wordprocessingShape">
                          <wps:wsp>
                            <wps:cNvCnPr>
                              <a:cxnSpLocks noChangeShapeType="1"/>
                            </wps:cNvCnPr>
                            <wps:spPr bwMode="auto">
                              <a:xfrm flipV="1">
                                <a:off x="0" y="0"/>
                                <a:ext cx="6134100" cy="0"/>
                              </a:xfrm>
                              <a:prstGeom prst="line">
                                <a:avLst/>
                              </a:prstGeom>
                              <a:noFill/>
                              <a:ln w="15875">
                                <a:solidFill>
                                  <a:srgbClr val="000000"/>
                                </a:solidFill>
                                <a:round/>
                              </a:ln>
                              <a:effectLst/>
                            </wps:spPr>
                            <wps:bodyPr/>
                          </wps:wsp>
                        </a:graphicData>
                      </a:graphic>
                    </wp:anchor>
                  </w:drawing>
                </mc:Choice>
                <mc:Fallback>
                  <w:pict>
                    <v:line id="_x0000_s1026" o:spid="_x0000_s1026" o:spt="20" style="position:absolute;left:0pt;flip:y;margin-left:1.7pt;margin-top:28.8pt;height:0pt;width:483pt;z-index:251659264;mso-width-relative:page;mso-height-relative:page;" filled="f" stroked="t" coordsize="21600,21600" o:gfxdata="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D24NhzTAAAABwEAAA8AAAAAAAAAAQAgAAAAOAAAAGRycy9k&#10;b3ducmV2LnhtbFBLAQIUABQAAAAIAIdO4kBg1z1x8QEAAMUDAAAOAAAAAAAAAAEAIAAAADgBAABk&#10;cnMvZTJvRG9jLnhtbFBLBQYAAAAABgAGAFkBAACbBQAAAAA=&#10;">
                      <v:fill on="f" focussize="0,0"/>
                      <v:stroke weight="1.25pt" color="#000000" joinstyle="round"/>
                      <v:imagedata o:title=""/>
                      <o:lock v:ext="edit" aspectratio="f"/>
                    </v:line>
                  </w:pict>
                </mc:Fallback>
              </mc:AlternateContent>
            </w:r>
            <w:r>
              <w:rPr>
                <w:rFonts w:ascii="原版宋体" w:hAnsi="原版宋体" w:eastAsia="Times New Roman" w:cs="Times New Roman"/>
                <w:bCs/>
                <w:kern w:val="0"/>
                <w:sz w:val="28"/>
                <w:szCs w:val="28"/>
                <w:lang w:eastAsia="en-US" w:bidi="en-US"/>
              </w:rPr>
              <w:t>DBS43/</w:t>
            </w:r>
            <w:r>
              <w:rPr>
                <w:rFonts w:hint="default" w:ascii="原版宋体" w:hAnsi="原版宋体" w:eastAsia="宋体" w:cs="Times New Roman"/>
                <w:bCs/>
                <w:kern w:val="0"/>
                <w:sz w:val="28"/>
                <w:szCs w:val="28"/>
                <w:lang w:bidi="en-US"/>
              </w:rPr>
              <w:t>013</w:t>
            </w:r>
            <w:r>
              <w:rPr>
                <w:rFonts w:ascii="原版宋体" w:hAnsi="原版宋体" w:eastAsia="Times New Roman" w:cs="Times New Roman"/>
                <w:bCs/>
                <w:kern w:val="0"/>
                <w:sz w:val="28"/>
                <w:szCs w:val="28"/>
                <w:lang w:eastAsia="en-US" w:bidi="en-US"/>
              </w:rPr>
              <w:t>—</w:t>
            </w:r>
            <w:r>
              <w:rPr>
                <w:rFonts w:ascii="原版宋体" w:hAnsi="原版宋体" w:eastAsia="Times New Roman" w:cs="Times New Roman"/>
                <w:bCs/>
                <w:kern w:val="0"/>
                <w:sz w:val="28"/>
                <w:szCs w:val="28"/>
                <w:lang w:bidi="en-US"/>
              </w:rPr>
              <w:t>202</w:t>
            </w:r>
            <w:r>
              <w:rPr>
                <w:rFonts w:hint="default" w:ascii="原版宋体" w:hAnsi="原版宋体" w:eastAsia="Times New Roman" w:cs="Times New Roman"/>
                <w:bCs/>
                <w:kern w:val="0"/>
                <w:sz w:val="28"/>
                <w:szCs w:val="28"/>
                <w:lang w:bidi="en-US"/>
              </w:rPr>
              <w:t>2</w:t>
            </w:r>
          </w:p>
        </w:tc>
        <w:tc>
          <w:tcPr>
            <w:tcW w:w="240" w:type="dxa"/>
          </w:tcPr>
          <w:p>
            <w:pPr>
              <w:numPr>
                <w:ilvl w:val="2"/>
                <w:numId w:val="0"/>
              </w:numPr>
              <w:tabs>
                <w:tab w:val="left" w:pos="5792"/>
              </w:tabs>
              <w:spacing w:before="120" w:beforeLines="50" w:after="120" w:afterLines="50"/>
              <w:ind w:left="420"/>
              <w:jc w:val="left"/>
              <w:rPr>
                <w:rFonts w:ascii="原版宋体" w:hAnsi="原版宋体" w:eastAsia="黑体" w:cs="Times New Roman"/>
                <w:bCs/>
                <w:kern w:val="0"/>
                <w:sz w:val="28"/>
                <w:szCs w:val="28"/>
              </w:rPr>
            </w:pPr>
          </w:p>
        </w:tc>
      </w:tr>
      <w:tr>
        <w:trPr>
          <w:cantSplit/>
          <w:trHeight w:val="80" w:hRule="atLeast"/>
        </w:trPr>
        <w:tc>
          <w:tcPr>
            <w:tcW w:w="9885" w:type="dxa"/>
            <w:gridSpan w:val="2"/>
          </w:tcPr>
          <w:p>
            <w:pPr>
              <w:jc w:val="left"/>
              <w:rPr>
                <w:rFonts w:ascii="原版宋体" w:hAnsi="原版宋体" w:eastAsia="Times New Roman" w:cs="Times New Roman"/>
                <w:bCs/>
                <w:kern w:val="1"/>
                <w:sz w:val="20"/>
                <w:szCs w:val="24"/>
                <w:lang w:eastAsia="en-US" w:bidi="en-US"/>
              </w:rPr>
            </w:pPr>
          </w:p>
        </w:tc>
      </w:tr>
      <w:tr>
        <w:trPr>
          <w:cantSplit/>
          <w:trHeight w:val="2182" w:hRule="atLeast"/>
        </w:trPr>
        <w:tc>
          <w:tcPr>
            <w:tcW w:w="9885" w:type="dxa"/>
            <w:gridSpan w:val="2"/>
          </w:tcPr>
          <w:p>
            <w:pPr>
              <w:jc w:val="left"/>
              <w:rPr>
                <w:rFonts w:ascii="原版宋体" w:hAnsi="原版宋体" w:eastAsia="Times New Roman" w:cs="Times New Roman"/>
                <w:bCs/>
                <w:kern w:val="0"/>
                <w:sz w:val="20"/>
                <w:szCs w:val="20"/>
                <w:lang w:bidi="en-US"/>
              </w:rPr>
            </w:pPr>
          </w:p>
          <w:p>
            <w:pPr>
              <w:jc w:val="center"/>
              <w:rPr>
                <w:rFonts w:ascii="原版宋体" w:hAnsi="原版宋体" w:eastAsia="黑体" w:cs="Times New Roman"/>
                <w:kern w:val="0"/>
                <w:sz w:val="52"/>
                <w:szCs w:val="24"/>
                <w:lang w:bidi="en-US"/>
              </w:rPr>
            </w:pPr>
            <w:r>
              <w:rPr>
                <w:rFonts w:hint="default" w:ascii="原版宋体" w:hAnsi="原版宋体" w:eastAsia="黑体" w:cs="Times New Roman"/>
                <w:kern w:val="0"/>
                <w:sz w:val="52"/>
                <w:szCs w:val="24"/>
                <w:lang w:bidi="en-US"/>
              </w:rPr>
              <w:t>食品安全地方标准</w:t>
            </w:r>
          </w:p>
          <w:p>
            <w:pPr>
              <w:spacing w:before="370" w:line="400" w:lineRule="exact"/>
              <w:jc w:val="center"/>
              <w:rPr>
                <w:rFonts w:ascii="原版宋体" w:hAnsi="原版宋体" w:eastAsia="黑体" w:cs="Times New Roman"/>
                <w:kern w:val="0"/>
                <w:sz w:val="52"/>
                <w:szCs w:val="52"/>
              </w:rPr>
            </w:pPr>
            <w:r>
              <w:rPr>
                <w:rFonts w:hint="default" w:ascii="原版宋体" w:hAnsi="原版宋体" w:eastAsia="黑体" w:cs="Times New Roman"/>
                <w:kern w:val="0"/>
                <w:sz w:val="52"/>
                <w:szCs w:val="52"/>
              </w:rPr>
              <w:t>铁皮石斛</w:t>
            </w:r>
          </w:p>
          <w:p>
            <w:pPr>
              <w:pStyle w:val="24"/>
              <w:spacing w:line="240" w:lineRule="auto"/>
              <w:rPr>
                <w:rFonts w:ascii="原版宋体" w:hAnsi="原版宋体" w:eastAsia="宋体" w:cs="Times New Roman"/>
                <w:bCs/>
                <w:color w:val="auto"/>
                <w:kern w:val="1"/>
                <w:sz w:val="32"/>
                <w:szCs w:val="32"/>
              </w:rPr>
            </w:pPr>
          </w:p>
        </w:tc>
      </w:tr>
      <w:tr>
        <w:trPr>
          <w:cantSplit/>
          <w:trHeight w:val="1390" w:hRule="atLeast"/>
        </w:trPr>
        <w:tc>
          <w:tcPr>
            <w:tcW w:w="9885" w:type="dxa"/>
            <w:gridSpan w:val="2"/>
            <w:vAlign w:val="center"/>
          </w:tcPr>
          <w:p>
            <w:pPr>
              <w:jc w:val="center"/>
              <w:rPr>
                <w:rFonts w:ascii="原版宋体" w:hAnsi="原版宋体" w:cs="Times New Roman"/>
              </w:rPr>
            </w:pPr>
          </w:p>
          <w:p>
            <w:pPr>
              <w:pStyle w:val="2"/>
              <w:rPr>
                <w:rFonts w:ascii="原版宋体" w:hAnsi="原版宋体" w:cs="Times New Roman"/>
              </w:rPr>
            </w:pPr>
          </w:p>
          <w:p>
            <w:pPr>
              <w:rPr>
                <w:rFonts w:ascii="原版宋体" w:hAnsi="原版宋体" w:cs="Times New Roman"/>
              </w:rPr>
            </w:pPr>
          </w:p>
          <w:p>
            <w:pPr>
              <w:pStyle w:val="2"/>
              <w:rPr>
                <w:rFonts w:ascii="原版宋体" w:hAnsi="原版宋体" w:cs="Times New Roman"/>
              </w:rPr>
            </w:pPr>
          </w:p>
          <w:p>
            <w:pPr>
              <w:rPr>
                <w:rFonts w:ascii="原版宋体" w:hAnsi="原版宋体" w:cs="Times New Roman"/>
              </w:rPr>
            </w:pPr>
          </w:p>
          <w:p>
            <w:pPr>
              <w:pStyle w:val="2"/>
              <w:rPr>
                <w:rFonts w:ascii="原版宋体" w:hAnsi="原版宋体" w:cs="Times New Roman"/>
              </w:rPr>
            </w:pPr>
          </w:p>
          <w:p>
            <w:pPr>
              <w:rPr>
                <w:rFonts w:ascii="原版宋体" w:hAnsi="原版宋体" w:cs="Times New Roman"/>
              </w:rPr>
            </w:pPr>
          </w:p>
          <w:p>
            <w:pPr>
              <w:pStyle w:val="2"/>
              <w:rPr>
                <w:rFonts w:ascii="原版宋体" w:hAnsi="原版宋体" w:cs="Times New Roman"/>
              </w:rPr>
            </w:pPr>
          </w:p>
          <w:p>
            <w:pPr>
              <w:rPr>
                <w:rFonts w:ascii="原版宋体" w:hAnsi="原版宋体" w:cs="Times New Roman"/>
              </w:rPr>
            </w:pPr>
          </w:p>
          <w:p>
            <w:pPr>
              <w:pStyle w:val="2"/>
              <w:rPr>
                <w:rFonts w:ascii="原版宋体" w:hAnsi="原版宋体" w:cs="Times New Roman"/>
              </w:rPr>
            </w:pPr>
          </w:p>
          <w:p>
            <w:pPr>
              <w:rPr>
                <w:rFonts w:ascii="原版宋体" w:hAnsi="原版宋体" w:cs="Times New Roman"/>
              </w:rPr>
            </w:pPr>
          </w:p>
          <w:p>
            <w:pPr>
              <w:rPr>
                <w:rFonts w:ascii="原版宋体" w:hAnsi="原版宋体" w:cs="Times New Roman"/>
              </w:rPr>
            </w:pPr>
          </w:p>
        </w:tc>
      </w:tr>
      <w:tr>
        <w:trPr>
          <w:cantSplit/>
          <w:trHeight w:val="410" w:hRule="atLeast"/>
        </w:trPr>
        <w:tc>
          <w:tcPr>
            <w:tcW w:w="9885" w:type="dxa"/>
            <w:gridSpan w:val="2"/>
          </w:tcPr>
          <w:p>
            <w:pPr>
              <w:jc w:val="left"/>
              <w:rPr>
                <w:rFonts w:ascii="原版宋体" w:hAnsi="原版宋体" w:eastAsia="Times New Roman" w:cs="Times New Roman"/>
                <w:bCs/>
                <w:kern w:val="1"/>
                <w:sz w:val="28"/>
                <w:szCs w:val="24"/>
                <w:lang w:bidi="en-US"/>
              </w:rPr>
            </w:pPr>
          </w:p>
        </w:tc>
      </w:tr>
      <w:tr>
        <w:trPr>
          <w:cantSplit/>
        </w:trPr>
        <w:tc>
          <w:tcPr>
            <w:tcW w:w="9885" w:type="dxa"/>
            <w:gridSpan w:val="2"/>
            <w:vAlign w:val="center"/>
          </w:tcPr>
          <w:tbl>
            <w:tblPr>
              <w:tblStyle w:val="9"/>
              <w:tblpPr w:leftFromText="180" w:rightFromText="180" w:vertAnchor="text" w:horzAnchor="page" w:tblpX="38" w:tblpY="622"/>
              <w:tblOverlap w:val="never"/>
              <w:tblW w:w="9647" w:type="dxa"/>
              <w:tblInd w:w="0" w:type="dxa"/>
              <w:tblLayout w:type="fixed"/>
              <w:tblCellMar>
                <w:top w:w="0" w:type="dxa"/>
                <w:left w:w="108" w:type="dxa"/>
                <w:bottom w:w="0" w:type="dxa"/>
                <w:right w:w="108" w:type="dxa"/>
              </w:tblCellMar>
            </w:tblPr>
            <w:tblGrid>
              <w:gridCol w:w="4607"/>
              <w:gridCol w:w="5040"/>
            </w:tblGrid>
            <w:tr>
              <w:trPr>
                <w:trHeight w:val="823" w:hRule="atLeast"/>
              </w:trPr>
              <w:tc>
                <w:tcPr>
                  <w:tcW w:w="4607" w:type="dxa"/>
                  <w:tcBorders>
                    <w:bottom w:val="single" w:color="000000" w:sz="12" w:space="0"/>
                  </w:tcBorders>
                  <w:shd w:val="clear" w:color="auto" w:fill="FFFFFF"/>
                  <w:vAlign w:val="bottom"/>
                </w:tcPr>
                <w:p>
                  <w:pPr>
                    <w:ind w:left="279" w:leftChars="133" w:firstLine="201" w:firstLineChars="72"/>
                    <w:jc w:val="left"/>
                    <w:rPr>
                      <w:rFonts w:ascii="原版宋体" w:hAnsi="原版宋体" w:eastAsia="黑体" w:cs="Times New Roman"/>
                      <w:kern w:val="1"/>
                      <w:sz w:val="28"/>
                      <w:szCs w:val="24"/>
                      <w:lang w:eastAsia="en-US" w:bidi="en-US"/>
                    </w:rPr>
                  </w:pPr>
                  <w:r>
                    <w:rPr>
                      <w:rFonts w:ascii="原版宋体" w:hAnsi="原版宋体" w:eastAsia="Times New Roman" w:cs="Times New Roman"/>
                      <w:kern w:val="1"/>
                      <w:sz w:val="28"/>
                      <w:szCs w:val="24"/>
                      <w:lang w:eastAsia="en-US" w:bidi="en-US"/>
                    </w:rPr>
                    <w:t>202</w:t>
                  </w:r>
                  <w:r>
                    <w:rPr>
                      <w:rFonts w:ascii="原版宋体" w:hAnsi="原版宋体" w:eastAsia="宋体" w:cs="Times New Roman"/>
                      <w:kern w:val="1"/>
                      <w:sz w:val="28"/>
                      <w:szCs w:val="24"/>
                      <w:lang w:bidi="en-US"/>
                    </w:rPr>
                    <w:t>2</w:t>
                  </w:r>
                  <w:r>
                    <w:rPr>
                      <w:rFonts w:ascii="原版宋体" w:hAnsi="原版宋体" w:eastAsia="Times New Roman" w:cs="Times New Roman"/>
                      <w:kern w:val="1"/>
                      <w:sz w:val="28"/>
                      <w:szCs w:val="24"/>
                      <w:lang w:eastAsia="en-US" w:bidi="en-US"/>
                    </w:rPr>
                    <w:t>-</w:t>
                  </w:r>
                  <w:r>
                    <w:rPr>
                      <w:rFonts w:hint="default" w:ascii="原版宋体" w:hAnsi="原版宋体" w:eastAsia="Times New Roman" w:cs="Times New Roman"/>
                      <w:kern w:val="1"/>
                      <w:sz w:val="28"/>
                      <w:szCs w:val="24"/>
                      <w:lang w:val="en" w:eastAsia="en-US" w:bidi="en-US"/>
                    </w:rPr>
                    <w:t>12</w:t>
                  </w:r>
                  <w:r>
                    <w:rPr>
                      <w:rFonts w:ascii="原版宋体" w:hAnsi="原版宋体" w:eastAsia="Times New Roman" w:cs="Times New Roman"/>
                      <w:kern w:val="1"/>
                      <w:sz w:val="28"/>
                      <w:szCs w:val="24"/>
                      <w:lang w:eastAsia="en-US" w:bidi="en-US"/>
                    </w:rPr>
                    <w:t>-</w:t>
                  </w:r>
                  <w:r>
                    <w:rPr>
                      <w:rFonts w:hint="default" w:ascii="原版宋体" w:hAnsi="原版宋体" w:eastAsia="Times New Roman" w:cs="Times New Roman"/>
                      <w:kern w:val="1"/>
                      <w:sz w:val="28"/>
                      <w:szCs w:val="24"/>
                      <w:lang w:val="en" w:eastAsia="en-US" w:bidi="en-US"/>
                    </w:rPr>
                    <w:t>9</w:t>
                  </w:r>
                  <w:r>
                    <w:rPr>
                      <w:rFonts w:hint="default" w:ascii="原版宋体" w:hAnsi="原版宋体" w:eastAsia="宋体" w:cs="Times New Roman"/>
                      <w:kern w:val="1"/>
                      <w:sz w:val="28"/>
                      <w:szCs w:val="24"/>
                      <w:lang w:eastAsia="en-US" w:bidi="en-US"/>
                    </w:rPr>
                    <w:t>发布</w:t>
                  </w:r>
                  <w:r>
                    <w:rPr>
                      <w:rFonts w:ascii="原版宋体" w:hAnsi="原版宋体" w:eastAsia="黑体" w:cs="Times New Roman"/>
                      <w:kern w:val="1"/>
                      <w:sz w:val="28"/>
                      <w:szCs w:val="24"/>
                      <w:lang w:eastAsia="en-US" w:bidi="en-US"/>
                    </w:rPr>
                    <w:t xml:space="preserve">    </w:t>
                  </w:r>
                </w:p>
              </w:tc>
              <w:tc>
                <w:tcPr>
                  <w:tcW w:w="5040" w:type="dxa"/>
                  <w:tcBorders>
                    <w:bottom w:val="single" w:color="000000" w:sz="12" w:space="0"/>
                  </w:tcBorders>
                  <w:vAlign w:val="bottom"/>
                </w:tcPr>
                <w:p>
                  <w:pPr>
                    <w:jc w:val="center"/>
                    <w:rPr>
                      <w:rFonts w:ascii="原版宋体" w:hAnsi="原版宋体" w:eastAsia="黑体" w:cs="Times New Roman"/>
                      <w:kern w:val="1"/>
                      <w:sz w:val="28"/>
                      <w:szCs w:val="24"/>
                      <w:lang w:eastAsia="en-US" w:bidi="en-US"/>
                    </w:rPr>
                  </w:pPr>
                  <w:r>
                    <w:rPr>
                      <w:rFonts w:ascii="原版宋体" w:hAnsi="原版宋体" w:eastAsia="黑体" w:cs="Times New Roman"/>
                      <w:kern w:val="1"/>
                      <w:sz w:val="28"/>
                      <w:szCs w:val="24"/>
                      <w:lang w:eastAsia="en-US" w:bidi="en-US"/>
                    </w:rPr>
                    <w:t xml:space="preserve">         </w:t>
                  </w:r>
                  <w:r>
                    <w:rPr>
                      <w:rFonts w:ascii="原版宋体" w:hAnsi="原版宋体" w:eastAsia="Times New Roman" w:cs="Times New Roman"/>
                      <w:kern w:val="1"/>
                      <w:sz w:val="28"/>
                      <w:szCs w:val="24"/>
                      <w:lang w:eastAsia="en-US" w:bidi="en-US"/>
                    </w:rPr>
                    <w:t xml:space="preserve"> 202</w:t>
                  </w:r>
                  <w:r>
                    <w:rPr>
                      <w:rFonts w:hint="default" w:ascii="原版宋体" w:hAnsi="原版宋体" w:eastAsia="宋体" w:cs="Times New Roman"/>
                      <w:kern w:val="1"/>
                      <w:sz w:val="28"/>
                      <w:szCs w:val="24"/>
                      <w:lang w:bidi="en-US"/>
                    </w:rPr>
                    <w:t>3</w:t>
                  </w:r>
                  <w:r>
                    <w:rPr>
                      <w:rFonts w:ascii="原版宋体" w:hAnsi="原版宋体" w:eastAsia="Times New Roman" w:cs="Times New Roman"/>
                      <w:kern w:val="1"/>
                      <w:sz w:val="28"/>
                      <w:szCs w:val="24"/>
                      <w:lang w:eastAsia="en-US" w:bidi="en-US"/>
                    </w:rPr>
                    <w:t>-</w:t>
                  </w:r>
                  <w:r>
                    <w:rPr>
                      <w:rFonts w:hint="default" w:ascii="原版宋体" w:hAnsi="原版宋体" w:eastAsia="Times New Roman" w:cs="Times New Roman"/>
                      <w:kern w:val="1"/>
                      <w:sz w:val="28"/>
                      <w:szCs w:val="24"/>
                      <w:lang w:val="en" w:eastAsia="en-US" w:bidi="en-US"/>
                    </w:rPr>
                    <w:t>6</w:t>
                  </w:r>
                  <w:r>
                    <w:rPr>
                      <w:rFonts w:ascii="原版宋体" w:hAnsi="原版宋体" w:eastAsia="Times New Roman" w:cs="Times New Roman"/>
                      <w:kern w:val="1"/>
                      <w:sz w:val="28"/>
                      <w:szCs w:val="24"/>
                      <w:lang w:eastAsia="en-US" w:bidi="en-US"/>
                    </w:rPr>
                    <w:t>-</w:t>
                  </w:r>
                  <w:r>
                    <w:rPr>
                      <w:rFonts w:hint="default" w:ascii="原版宋体" w:hAnsi="原版宋体" w:eastAsia="宋体" w:cs="Times New Roman"/>
                      <w:kern w:val="1"/>
                      <w:sz w:val="28"/>
                      <w:szCs w:val="24"/>
                      <w:lang w:val="en" w:bidi="en-US"/>
                    </w:rPr>
                    <w:t>9</w:t>
                  </w:r>
                  <w:r>
                    <w:rPr>
                      <w:rFonts w:hint="default" w:ascii="原版宋体" w:hAnsi="原版宋体" w:eastAsia="宋体" w:cs="Times New Roman"/>
                      <w:kern w:val="1"/>
                      <w:sz w:val="28"/>
                      <w:szCs w:val="24"/>
                      <w:lang w:eastAsia="en-US" w:bidi="en-US"/>
                    </w:rPr>
                    <w:t>实施</w:t>
                  </w:r>
                </w:p>
              </w:tc>
            </w:tr>
            <w:tr>
              <w:trPr>
                <w:cantSplit/>
                <w:trHeight w:val="1102" w:hRule="atLeast"/>
              </w:trPr>
              <w:tc>
                <w:tcPr>
                  <w:tcW w:w="9647" w:type="dxa"/>
                  <w:gridSpan w:val="2"/>
                  <w:vAlign w:val="center"/>
                </w:tcPr>
                <w:p>
                  <w:pPr>
                    <w:jc w:val="center"/>
                    <w:rPr>
                      <w:rFonts w:ascii="原版宋体" w:hAnsi="原版宋体" w:eastAsia="黑体" w:cs="Times New Roman"/>
                      <w:kern w:val="0"/>
                      <w:sz w:val="28"/>
                      <w:szCs w:val="28"/>
                      <w:lang w:bidi="en-US"/>
                    </w:rPr>
                  </w:pPr>
                  <w:r>
                    <w:rPr>
                      <w:rFonts w:hint="default" w:ascii="原版宋体" w:hAnsi="原版宋体" w:eastAsia="黑体" w:cs="Times New Roman"/>
                      <w:spacing w:val="12"/>
                      <w:kern w:val="0"/>
                      <w:sz w:val="28"/>
                      <w:szCs w:val="28"/>
                      <w:lang w:bidi="en-US"/>
                    </w:rPr>
                    <w:t>湖南省卫生健康委员会</w:t>
                  </w:r>
                  <w:r>
                    <w:rPr>
                      <w:rFonts w:hint="default" w:ascii="原版宋体" w:hAnsi="原版宋体" w:eastAsia="黑体" w:cs="Times New Roman"/>
                      <w:kern w:val="0"/>
                      <w:sz w:val="28"/>
                      <w:szCs w:val="28"/>
                      <w:lang w:bidi="en-US"/>
                    </w:rPr>
                    <w:t xml:space="preserve">  发布</w:t>
                  </w:r>
                </w:p>
                <w:p>
                  <w:pPr>
                    <w:jc w:val="center"/>
                    <w:rPr>
                      <w:rFonts w:ascii="原版宋体" w:hAnsi="原版宋体" w:eastAsia="Times New Roman" w:cs="Times New Roman"/>
                      <w:spacing w:val="19"/>
                      <w:w w:val="135"/>
                      <w:kern w:val="0"/>
                      <w:sz w:val="28"/>
                      <w:szCs w:val="24"/>
                      <w:lang w:bidi="en-US"/>
                    </w:rPr>
                  </w:pPr>
                </w:p>
              </w:tc>
            </w:tr>
          </w:tbl>
          <w:p>
            <w:pPr>
              <w:jc w:val="left"/>
              <w:rPr>
                <w:rFonts w:ascii="原版宋体" w:hAnsi="原版宋体" w:eastAsia="Times New Roman" w:cs="Times New Roman"/>
                <w:bCs/>
                <w:kern w:val="1"/>
                <w:sz w:val="28"/>
                <w:szCs w:val="24"/>
                <w:lang w:bidi="en-US"/>
              </w:rPr>
            </w:pPr>
          </w:p>
        </w:tc>
      </w:tr>
    </w:tbl>
    <w:p>
      <w:pPr>
        <w:ind w:right="3653"/>
        <w:rPr>
          <w:rFonts w:ascii="原版宋体" w:hAnsi="原版宋体" w:eastAsia="Times New Roman" w:cs="Times New Roman"/>
          <w:kern w:val="0"/>
          <w:sz w:val="24"/>
          <w:szCs w:val="24"/>
          <w:lang w:bidi="en-US"/>
        </w:rPr>
        <w:sectPr>
          <w:headerReference r:id="rId6" w:type="default"/>
          <w:footerReference r:id="rId7" w:type="default"/>
          <w:pgSz w:w="11900" w:h="16840"/>
          <w:pgMar w:top="2079" w:right="1278" w:bottom="1269" w:left="1569" w:header="1651" w:footer="841" w:gutter="0"/>
          <w:pgNumType w:fmt="decimal" w:start="1"/>
          <w:cols w:space="720" w:num="1"/>
          <w:docGrid w:linePitch="360" w:charSpace="0"/>
        </w:sectPr>
      </w:pPr>
    </w:p>
    <w:p>
      <w:pPr>
        <w:pStyle w:val="2"/>
        <w:keepNext/>
        <w:shd w:val="clear" w:color="FFFFFF" w:fill="FFFFFF"/>
        <w:spacing w:before="640" w:after="560"/>
        <w:jc w:val="center"/>
        <w:outlineLvl w:val="0"/>
        <w:rPr>
          <w:rFonts w:ascii="原版宋体" w:hAnsi="原版宋体" w:eastAsia="方正小标宋_GBK" w:cs="Times New Roman"/>
          <w:bCs/>
          <w:kern w:val="0"/>
          <w:sz w:val="28"/>
          <w:szCs w:val="28"/>
        </w:rPr>
      </w:pPr>
      <w:r>
        <w:rPr>
          <w:rFonts w:ascii="原版宋体" w:hAnsi="原版宋体" w:eastAsia="Times New Roman" w:cs="Times New Roman"/>
          <w:color w:val="000000"/>
          <w:kern w:val="0"/>
          <w:sz w:val="24"/>
          <w:szCs w:val="24"/>
        </w:rPr>
        <mc:AlternateContent>
          <mc:Choice Requires="wps">
            <w:drawing>
              <wp:anchor distT="0" distB="0" distL="114300" distR="114300" simplePos="0" relativeHeight="251661312" behindDoc="0" locked="0" layoutInCell="1" allowOverlap="1">
                <wp:simplePos x="0" y="0"/>
                <wp:positionH relativeFrom="column">
                  <wp:posOffset>4378325</wp:posOffset>
                </wp:positionH>
                <wp:positionV relativeFrom="paragraph">
                  <wp:posOffset>-239395</wp:posOffset>
                </wp:positionV>
                <wp:extent cx="2002155" cy="370205"/>
                <wp:effectExtent l="0" t="0" r="0" b="0"/>
                <wp:wrapNone/>
                <wp:docPr id="17" name="文本框 17"/>
                <wp:cNvGraphicFramePr/>
                <a:graphic xmlns:a="http://schemas.openxmlformats.org/drawingml/2006/main">
                  <a:graphicData uri="http://schemas.microsoft.com/office/word/2010/wordprocessingShape">
                    <wps:wsp>
                      <wps:cNvSpPr txBox="1"/>
                      <wps:spPr>
                        <a:xfrm>
                          <a:off x="5178425" y="4359275"/>
                          <a:ext cx="2002155"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left"/>
                              <w:rPr>
                                <w:rFonts w:ascii="Times New Roman" w:hAnsi="Times New Roman" w:eastAsia="Times New Roman" w:cs="Times New Roman"/>
                                <w:color w:val="000000"/>
                                <w:kern w:val="0"/>
                                <w:sz w:val="24"/>
                                <w:szCs w:val="24"/>
                                <w:lang w:eastAsia="en-US" w:bidi="en-US"/>
                              </w:rPr>
                            </w:pPr>
                            <w:r>
                              <w:rPr>
                                <w:rFonts w:ascii="Times New Roman" w:hAnsi="Times New Roman" w:eastAsia="Times New Roman" w:cs="Times New Roman"/>
                                <w:color w:val="000000"/>
                                <w:kern w:val="0"/>
                                <w:sz w:val="24"/>
                                <w:szCs w:val="24"/>
                                <w:lang w:eastAsia="en-US" w:bidi="en-US"/>
                              </w:rPr>
                              <w:t>DBS43/</w:t>
                            </w:r>
                            <w:r>
                              <w:rPr>
                                <w:rFonts w:hint="eastAsia" w:ascii="Times New Roman" w:hAnsi="Times New Roman" w:eastAsia="宋体" w:cs="Times New Roman"/>
                                <w:color w:val="000000"/>
                                <w:kern w:val="0"/>
                                <w:sz w:val="24"/>
                                <w:szCs w:val="24"/>
                                <w:lang w:bidi="en-US"/>
                              </w:rPr>
                              <w:t>013</w:t>
                            </w:r>
                            <w:r>
                              <w:rPr>
                                <w:rFonts w:ascii="Times New Roman" w:hAnsi="Times New Roman" w:eastAsia="Times New Roman" w:cs="Times New Roman"/>
                                <w:color w:val="000000"/>
                                <w:kern w:val="0"/>
                                <w:sz w:val="24"/>
                                <w:szCs w:val="24"/>
                                <w:lang w:eastAsia="en-US" w:bidi="en-US"/>
                              </w:rPr>
                              <w:t>—</w:t>
                            </w:r>
                            <w:r>
                              <w:rPr>
                                <w:rFonts w:ascii="Times New Roman" w:hAnsi="Times New Roman" w:eastAsia="Times New Roman" w:cs="Times New Roman"/>
                                <w:color w:val="000000"/>
                                <w:kern w:val="0"/>
                                <w:sz w:val="24"/>
                                <w:szCs w:val="24"/>
                                <w:lang w:bidi="en-US"/>
                              </w:rPr>
                              <w:t>202</w:t>
                            </w:r>
                            <w:r>
                              <w:rPr>
                                <w:rFonts w:hint="eastAsia" w:ascii="Times New Roman" w:hAnsi="Times New Roman" w:eastAsia="Times New Roman" w:cs="Times New Roman"/>
                                <w:color w:val="000000"/>
                                <w:kern w:val="0"/>
                                <w:sz w:val="24"/>
                                <w:szCs w:val="24"/>
                                <w:lang w:bidi="en-US"/>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75pt;margin-top:-18.85pt;height:29.15pt;width:157.65pt;z-index:251661312;mso-width-relative:page;mso-height-relative:page;" filled="f" stroked="f" coordsize="21600,21600" o:gfxdata="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AEdVeB3AAAAAsBAAAPAAAAAAAAAAEAIAAAADgAAABkcnMvZG93bnJldi54bWxQ&#10;SwECFAAUAAAACACHTuJAaFUkUE8CAACCBAAADgAAAAAAAAABACAAAABBAQAAZHJzL2Uyb0RvYy54&#10;bWxQSwUGAAAAAAYABgBZAQAAAgYAAAAA&#10;">
                <v:fill on="f" focussize="0,0"/>
                <v:stroke on="f" weight="0.5pt"/>
                <v:imagedata o:title=""/>
                <o:lock v:ext="edit" aspectratio="f"/>
                <v:textbox>
                  <w:txbxContent>
                    <w:p>
                      <w:pPr>
                        <w:jc w:val="left"/>
                        <w:rPr>
                          <w:rFonts w:ascii="Times New Roman" w:hAnsi="Times New Roman" w:eastAsia="Times New Roman" w:cs="Times New Roman"/>
                          <w:color w:val="000000"/>
                          <w:kern w:val="0"/>
                          <w:sz w:val="24"/>
                          <w:szCs w:val="24"/>
                          <w:lang w:eastAsia="en-US" w:bidi="en-US"/>
                        </w:rPr>
                      </w:pPr>
                      <w:r>
                        <w:rPr>
                          <w:rFonts w:ascii="Times New Roman" w:hAnsi="Times New Roman" w:eastAsia="Times New Roman" w:cs="Times New Roman"/>
                          <w:color w:val="000000"/>
                          <w:kern w:val="0"/>
                          <w:sz w:val="24"/>
                          <w:szCs w:val="24"/>
                          <w:lang w:eastAsia="en-US" w:bidi="en-US"/>
                        </w:rPr>
                        <w:t>DBS43/</w:t>
                      </w:r>
                      <w:r>
                        <w:rPr>
                          <w:rFonts w:hint="eastAsia" w:ascii="Times New Roman" w:hAnsi="Times New Roman" w:eastAsia="宋体" w:cs="Times New Roman"/>
                          <w:color w:val="000000"/>
                          <w:kern w:val="0"/>
                          <w:sz w:val="24"/>
                          <w:szCs w:val="24"/>
                          <w:lang w:bidi="en-US"/>
                        </w:rPr>
                        <w:t>013</w:t>
                      </w:r>
                      <w:r>
                        <w:rPr>
                          <w:rFonts w:ascii="Times New Roman" w:hAnsi="Times New Roman" w:eastAsia="Times New Roman" w:cs="Times New Roman"/>
                          <w:color w:val="000000"/>
                          <w:kern w:val="0"/>
                          <w:sz w:val="24"/>
                          <w:szCs w:val="24"/>
                          <w:lang w:eastAsia="en-US" w:bidi="en-US"/>
                        </w:rPr>
                        <w:t>—</w:t>
                      </w:r>
                      <w:r>
                        <w:rPr>
                          <w:rFonts w:ascii="Times New Roman" w:hAnsi="Times New Roman" w:eastAsia="Times New Roman" w:cs="Times New Roman"/>
                          <w:color w:val="000000"/>
                          <w:kern w:val="0"/>
                          <w:sz w:val="24"/>
                          <w:szCs w:val="24"/>
                          <w:lang w:bidi="en-US"/>
                        </w:rPr>
                        <w:t>202</w:t>
                      </w:r>
                      <w:r>
                        <w:rPr>
                          <w:rFonts w:hint="eastAsia" w:ascii="Times New Roman" w:hAnsi="Times New Roman" w:eastAsia="Times New Roman" w:cs="Times New Roman"/>
                          <w:color w:val="000000"/>
                          <w:kern w:val="0"/>
                          <w:sz w:val="24"/>
                          <w:szCs w:val="24"/>
                          <w:lang w:bidi="en-US"/>
                        </w:rPr>
                        <w:t>2</w:t>
                      </w:r>
                    </w:p>
                  </w:txbxContent>
                </v:textbox>
              </v:shape>
            </w:pict>
          </mc:Fallback>
        </mc:AlternateContent>
      </w:r>
      <w:bookmarkStart w:id="0" w:name="_Toc54712932"/>
    </w:p>
    <w:p>
      <w:pPr>
        <w:keepNext/>
        <w:shd w:val="clear" w:color="FFFFFF" w:fill="FFFFFF"/>
        <w:spacing w:before="640" w:after="560"/>
        <w:jc w:val="center"/>
        <w:outlineLvl w:val="0"/>
        <w:rPr>
          <w:rFonts w:ascii="原版宋体" w:hAnsi="原版宋体" w:eastAsia="方正小标宋_GBK" w:cs="Times New Roman"/>
          <w:bCs/>
          <w:kern w:val="0"/>
          <w:sz w:val="28"/>
          <w:szCs w:val="28"/>
        </w:rPr>
      </w:pPr>
      <w:r>
        <w:rPr>
          <w:rFonts w:hint="default" w:ascii="原版宋体" w:hAnsi="原版宋体" w:eastAsia="方正小标宋_GBK" w:cs="Times New Roman"/>
          <w:bCs/>
          <w:kern w:val="0"/>
          <w:sz w:val="28"/>
          <w:szCs w:val="28"/>
        </w:rPr>
        <w:t>前</w:t>
      </w:r>
      <w:bookmarkStart w:id="1" w:name="BKQY"/>
      <w:r>
        <w:rPr>
          <w:rFonts w:hint="default" w:ascii="原版宋体" w:hAnsi="原版宋体" w:eastAsia="方正小标宋_GBK" w:cs="Times New Roman"/>
          <w:bCs/>
          <w:kern w:val="0"/>
          <w:sz w:val="28"/>
          <w:szCs w:val="28"/>
        </w:rPr>
        <w:t>言</w:t>
      </w:r>
      <w:bookmarkEnd w:id="0"/>
      <w:bookmarkEnd w:id="1"/>
    </w:p>
    <w:p>
      <w:pPr>
        <w:ind w:firstLine="420" w:firstLineChars="200"/>
        <w:rPr>
          <w:rFonts w:ascii="原版宋体" w:hAnsi="原版宋体" w:eastAsia="宋体" w:cs="Times New Roman"/>
          <w:kern w:val="0"/>
          <w:szCs w:val="21"/>
        </w:rPr>
      </w:pPr>
      <w:r>
        <w:rPr>
          <w:rFonts w:hint="default" w:ascii="原版宋体" w:hAnsi="原版宋体" w:eastAsia="宋体" w:cs="Times New Roman"/>
          <w:kern w:val="0"/>
          <w:szCs w:val="21"/>
        </w:rPr>
        <w:t>本文件为首次发布。</w:t>
      </w: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宋体" w:cs="Times New Roman"/>
          <w:color w:val="FF0000"/>
          <w:kern w:val="0"/>
          <w:sz w:val="24"/>
          <w:szCs w:val="21"/>
          <w:lang w:bidi="en-US"/>
        </w:rPr>
      </w:pPr>
    </w:p>
    <w:p>
      <w:pPr>
        <w:ind w:firstLine="480" w:firstLineChars="200"/>
        <w:jc w:val="left"/>
        <w:rPr>
          <w:rFonts w:ascii="原版宋体" w:hAnsi="原版宋体" w:eastAsia="宋体" w:cs="Times New Roman"/>
          <w:color w:val="FF0000"/>
          <w:kern w:val="0"/>
          <w:sz w:val="24"/>
          <w:szCs w:val="21"/>
          <w:lang w:bidi="en-US"/>
        </w:rPr>
      </w:pPr>
    </w:p>
    <w:p>
      <w:pPr>
        <w:ind w:firstLine="480" w:firstLineChars="200"/>
        <w:jc w:val="left"/>
        <w:rPr>
          <w:rFonts w:ascii="原版宋体" w:hAnsi="原版宋体" w:eastAsia="宋体" w:cs="Times New Roman"/>
          <w:color w:val="FF0000"/>
          <w:kern w:val="0"/>
          <w:sz w:val="24"/>
          <w:szCs w:val="21"/>
          <w:lang w:bidi="en-US"/>
        </w:rPr>
      </w:pPr>
    </w:p>
    <w:p>
      <w:pPr>
        <w:ind w:firstLine="480" w:firstLineChars="200"/>
        <w:jc w:val="left"/>
        <w:rPr>
          <w:rFonts w:ascii="原版宋体" w:hAnsi="原版宋体" w:eastAsia="宋体"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spacing w:line="360" w:lineRule="auto"/>
        <w:jc w:val="center"/>
        <w:rPr>
          <w:rFonts w:ascii="原版宋体" w:hAnsi="原版宋体" w:eastAsia="方正小标宋_GBK" w:cs="Times New Roman"/>
          <w:kern w:val="0"/>
          <w:sz w:val="32"/>
          <w:szCs w:val="32"/>
          <w:lang w:bidi="en-US"/>
        </w:rPr>
      </w:pPr>
    </w:p>
    <w:p>
      <w:pPr>
        <w:spacing w:line="360" w:lineRule="auto"/>
        <w:jc w:val="center"/>
        <w:rPr>
          <w:rFonts w:ascii="原版宋体" w:hAnsi="原版宋体" w:eastAsia="方正小标宋_GBK" w:cs="Times New Roman"/>
          <w:sz w:val="32"/>
          <w:szCs w:val="32"/>
        </w:rPr>
        <w:sectPr>
          <w:headerReference r:id="rId8" w:type="default"/>
          <w:footerReference r:id="rId9" w:type="default"/>
          <w:pgSz w:w="11900" w:h="16840"/>
          <w:pgMar w:top="2079" w:right="1278" w:bottom="1269" w:left="1569" w:header="1651" w:footer="841" w:gutter="0"/>
          <w:pgNumType w:fmt="decimal" w:start="1"/>
          <w:cols w:space="720" w:num="1"/>
          <w:docGrid w:linePitch="360" w:charSpace="0"/>
        </w:sectPr>
      </w:pPr>
    </w:p>
    <w:p>
      <w:pPr>
        <w:spacing w:line="360" w:lineRule="auto"/>
        <w:jc w:val="center"/>
        <w:rPr>
          <w:rFonts w:ascii="原版宋体" w:hAnsi="原版宋体" w:eastAsia="方正小标宋_GBK" w:cs="Times New Roman"/>
          <w:kern w:val="0"/>
          <w:sz w:val="32"/>
          <w:szCs w:val="32"/>
          <w:lang w:bidi="en-US"/>
        </w:rPr>
      </w:pPr>
      <w:r>
        <w:rPr>
          <w:rFonts w:hint="default" w:ascii="原版宋体" w:hAnsi="原版宋体" w:eastAsia="方正小标宋_GBK" w:cs="Times New Roman"/>
          <w:kern w:val="0"/>
          <w:sz w:val="32"/>
          <w:szCs w:val="32"/>
          <w:lang w:bidi="en-US"/>
        </w:rPr>
        <w:t>食品安全地方标准</w:t>
      </w:r>
      <w:r>
        <w:rPr>
          <w:rFonts w:ascii="原版宋体" w:hAnsi="原版宋体" w:eastAsia="方正小标宋_GBK" w:cs="Times New Roman"/>
          <w:kern w:val="0"/>
          <w:sz w:val="32"/>
          <w:szCs w:val="32"/>
          <w:lang w:bidi="en-US"/>
        </w:rPr>
        <w:t xml:space="preserve"> 铁皮石斛</w:t>
      </w:r>
    </w:p>
    <w:p>
      <w:pPr>
        <w:tabs>
          <w:tab w:val="center" w:pos="4201"/>
          <w:tab w:val="right" w:leader="dot" w:pos="9298"/>
        </w:tabs>
        <w:spacing w:before="50" w:after="50" w:line="48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1.范围</w:t>
      </w:r>
    </w:p>
    <w:p>
      <w:pPr>
        <w:tabs>
          <w:tab w:val="center" w:pos="4201"/>
          <w:tab w:val="right" w:leader="dot" w:pos="9298"/>
        </w:tabs>
        <w:spacing w:before="50" w:after="50" w:line="480" w:lineRule="exact"/>
        <w:ind w:firstLine="420" w:firstLineChars="200"/>
        <w:outlineLvl w:val="1"/>
        <w:rPr>
          <w:rFonts w:ascii="原版宋体" w:hAnsi="原版宋体" w:eastAsia="宋体" w:cs="Times New Roman"/>
          <w:szCs w:val="21"/>
        </w:rPr>
      </w:pPr>
      <w:r>
        <w:rPr>
          <w:rFonts w:hint="default" w:ascii="原版宋体" w:hAnsi="原版宋体" w:eastAsia="宋体" w:cs="Times New Roman"/>
          <w:szCs w:val="21"/>
        </w:rPr>
        <w:t>本文件规定了铁皮石斛的术语和定义、技术要求、标签、包装、运输和贮存。</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本文件适用于湖南地区生产的铁皮石斛。</w:t>
      </w:r>
    </w:p>
    <w:p>
      <w:pPr>
        <w:spacing w:before="50" w:after="50" w:line="48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2.规范性引用文件</w:t>
      </w:r>
    </w:p>
    <w:p>
      <w:pPr>
        <w:tabs>
          <w:tab w:val="center" w:pos="4201"/>
          <w:tab w:val="right" w:leader="dot" w:pos="9298"/>
        </w:tabs>
        <w:spacing w:line="480" w:lineRule="exact"/>
        <w:ind w:left="420" w:leftChars="200" w:firstLine="0" w:firstLineChars="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下列文件中的内容通过文中的规范性引用而构成本文件必不可少的条款。其中，注日期的引用文件，仅该日期对应的版本适用于本文件；不注日期的引用文件，其最新版本（包括所有的修改单）适用于本文件。 </w:t>
      </w:r>
    </w:p>
    <w:tbl>
      <w:tblPr>
        <w:tblStyle w:val="9"/>
        <w:tblpPr w:leftFromText="180" w:rightFromText="180" w:vertAnchor="text" w:horzAnchor="margin" w:tblpXSpec="center" w:tblpY="52"/>
        <w:tblW w:w="0" w:type="auto"/>
        <w:tblInd w:w="0" w:type="dxa"/>
        <w:tblLayout w:type="autofit"/>
        <w:tblCellMar>
          <w:top w:w="0" w:type="dxa"/>
          <w:left w:w="108" w:type="dxa"/>
          <w:bottom w:w="0" w:type="dxa"/>
          <w:right w:w="108" w:type="dxa"/>
        </w:tblCellMar>
      </w:tblPr>
      <w:tblGrid>
        <w:gridCol w:w="1526"/>
        <w:gridCol w:w="6996"/>
      </w:tblGrid>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2762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食品中污染物限量</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2763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食品中农药最大残留限量</w:t>
            </w:r>
          </w:p>
        </w:tc>
      </w:tr>
      <w:tr>
        <w:tc>
          <w:tcPr>
            <w:tcW w:w="152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color w:val="000000"/>
                <w:kern w:val="0"/>
                <w:szCs w:val="21"/>
              </w:rPr>
              <w:t xml:space="preserve">GB 4806.7   </w:t>
            </w:r>
            <w:r>
              <w:rPr>
                <w:rFonts w:hint="default" w:ascii="原版宋体" w:hAnsi="原版宋体" w:eastAsia="宋体" w:cs="Times New Roman"/>
                <w:kern w:val="0"/>
                <w:szCs w:val="21"/>
              </w:rPr>
              <w:t xml:space="preserve"> </w:t>
            </w:r>
          </w:p>
        </w:tc>
        <w:tc>
          <w:tcPr>
            <w:tcW w:w="699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color w:val="000000"/>
                <w:kern w:val="0"/>
                <w:szCs w:val="21"/>
              </w:rPr>
              <w:t>食品安全国家标准 食品接触用塑料材料及制品</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5009.3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食品中水分的测定</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5009.4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食品中灰分的测定</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5009.11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食品中总砷及无机砷的测定</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5009.12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食品中铅的测定</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5009.15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食品中镉的测定</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5009.17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食品中总汞及有机汞的测定</w:t>
            </w:r>
          </w:p>
        </w:tc>
      </w:tr>
      <w:tr>
        <w:tc>
          <w:tcPr>
            <w:tcW w:w="152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5749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生活饮用水卫生标准</w:t>
            </w:r>
          </w:p>
        </w:tc>
      </w:tr>
      <w:tr>
        <w:tc>
          <w:tcPr>
            <w:tcW w:w="152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color w:val="000000"/>
                <w:kern w:val="0"/>
                <w:szCs w:val="21"/>
              </w:rPr>
              <w:t xml:space="preserve">GB/T 6543     </w:t>
            </w:r>
            <w:r>
              <w:rPr>
                <w:rFonts w:hint="default" w:ascii="原版宋体" w:hAnsi="原版宋体" w:eastAsia="宋体" w:cs="Times New Roman"/>
                <w:kern w:val="0"/>
                <w:szCs w:val="21"/>
              </w:rPr>
              <w:t xml:space="preserve"> </w:t>
            </w:r>
          </w:p>
        </w:tc>
        <w:tc>
          <w:tcPr>
            <w:tcW w:w="6996" w:type="dxa"/>
          </w:tcPr>
          <w:p>
            <w:pPr>
              <w:spacing w:line="48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运输包装用单瓦楞纸箱和双瓦楞纸箱</w:t>
            </w:r>
          </w:p>
        </w:tc>
      </w:tr>
      <w:tr>
        <w:tc>
          <w:tcPr>
            <w:tcW w:w="152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 xml:space="preserve">GB 7718        </w:t>
            </w:r>
          </w:p>
        </w:tc>
        <w:tc>
          <w:tcPr>
            <w:tcW w:w="699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食品安全国家标准 预包装食品标签通则</w:t>
            </w:r>
          </w:p>
        </w:tc>
      </w:tr>
      <w:tr>
        <w:tc>
          <w:tcPr>
            <w:tcW w:w="152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 xml:space="preserve">GB 14881       </w:t>
            </w:r>
          </w:p>
        </w:tc>
        <w:tc>
          <w:tcPr>
            <w:tcW w:w="6996" w:type="dxa"/>
          </w:tcPr>
          <w:p>
            <w:pPr>
              <w:spacing w:line="480" w:lineRule="exact"/>
              <w:rPr>
                <w:rFonts w:ascii="原版宋体" w:hAnsi="原版宋体" w:eastAsia="宋体" w:cs="Times New Roman"/>
                <w:color w:val="333333"/>
                <w:kern w:val="0"/>
                <w:szCs w:val="21"/>
                <w:shd w:val="clear" w:color="auto" w:fill="FFFFFF"/>
              </w:rPr>
            </w:pPr>
            <w:r>
              <w:rPr>
                <w:rFonts w:hint="default" w:ascii="原版宋体" w:hAnsi="原版宋体" w:eastAsia="宋体" w:cs="Times New Roman"/>
                <w:kern w:val="0"/>
                <w:szCs w:val="21"/>
              </w:rPr>
              <w:t>食品安全国家标准</w:t>
            </w:r>
            <w:r>
              <w:rPr>
                <w:rFonts w:hint="default" w:ascii="原版宋体" w:hAnsi="原版宋体" w:eastAsia="宋体" w:cs="Times New Roman"/>
                <w:color w:val="333333"/>
                <w:kern w:val="0"/>
                <w:szCs w:val="21"/>
                <w:shd w:val="clear" w:color="auto" w:fill="FFFFFF"/>
              </w:rPr>
              <w:t xml:space="preserve"> </w:t>
            </w:r>
            <w:r>
              <w:rPr>
                <w:rFonts w:hint="default" w:ascii="原版宋体" w:hAnsi="原版宋体" w:eastAsia="宋体" w:cs="Times New Roman"/>
                <w:kern w:val="0"/>
                <w:szCs w:val="21"/>
              </w:rPr>
              <w:t>食品生产通用卫生规范</w:t>
            </w:r>
            <w:r>
              <w:rPr>
                <w:rFonts w:hint="default" w:ascii="原版宋体" w:hAnsi="原版宋体" w:eastAsia="宋体" w:cs="Times New Roman"/>
                <w:color w:val="333333"/>
                <w:kern w:val="0"/>
                <w:szCs w:val="21"/>
                <w:shd w:val="clear" w:color="auto" w:fill="FFFFFF"/>
              </w:rPr>
              <w:t xml:space="preserve"> </w:t>
            </w:r>
          </w:p>
        </w:tc>
      </w:tr>
      <w:tr>
        <w:tc>
          <w:tcPr>
            <w:tcW w:w="152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 xml:space="preserve">GB 31621       </w:t>
            </w:r>
          </w:p>
        </w:tc>
        <w:tc>
          <w:tcPr>
            <w:tcW w:w="6996" w:type="dxa"/>
          </w:tcPr>
          <w:p>
            <w:pPr>
              <w:spacing w:line="480" w:lineRule="exact"/>
              <w:rPr>
                <w:rFonts w:ascii="原版宋体" w:hAnsi="原版宋体" w:eastAsia="宋体" w:cs="Times New Roman"/>
                <w:color w:val="333333"/>
                <w:kern w:val="0"/>
                <w:szCs w:val="21"/>
              </w:rPr>
            </w:pPr>
            <w:r>
              <w:rPr>
                <w:rFonts w:hint="default" w:ascii="原版宋体" w:hAnsi="原版宋体" w:eastAsia="宋体" w:cs="Times New Roman"/>
                <w:color w:val="333333"/>
                <w:kern w:val="0"/>
                <w:szCs w:val="21"/>
              </w:rPr>
              <w:t>食品安全国家标准</w:t>
            </w:r>
            <w:r>
              <w:rPr>
                <w:rFonts w:hint="default" w:ascii="原版宋体" w:hAnsi="原版宋体" w:eastAsia="宋体" w:cs="Times New Roman"/>
                <w:kern w:val="0"/>
                <w:szCs w:val="21"/>
              </w:rPr>
              <w:t xml:space="preserve"> 食品经营过程卫生规范</w:t>
            </w:r>
          </w:p>
        </w:tc>
      </w:tr>
      <w:tr>
        <w:tc>
          <w:tcPr>
            <w:tcW w:w="152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 xml:space="preserve">JJF 1070        </w:t>
            </w:r>
          </w:p>
        </w:tc>
        <w:tc>
          <w:tcPr>
            <w:tcW w:w="6996" w:type="dxa"/>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定量包装商品净含量计量检验规则</w:t>
            </w:r>
          </w:p>
        </w:tc>
      </w:tr>
      <w:tr>
        <w:tc>
          <w:tcPr>
            <w:tcW w:w="8522" w:type="dxa"/>
            <w:gridSpan w:val="2"/>
          </w:tcPr>
          <w:p>
            <w:pPr>
              <w:spacing w:line="480" w:lineRule="exact"/>
              <w:rPr>
                <w:rFonts w:ascii="原版宋体" w:hAnsi="原版宋体" w:eastAsia="宋体" w:cs="Times New Roman"/>
                <w:kern w:val="0"/>
                <w:szCs w:val="21"/>
              </w:rPr>
            </w:pPr>
            <w:r>
              <w:rPr>
                <w:rFonts w:hint="default" w:ascii="原版宋体" w:hAnsi="原版宋体" w:eastAsia="宋体" w:cs="Times New Roman"/>
                <w:kern w:val="0"/>
                <w:szCs w:val="21"/>
              </w:rPr>
              <w:t>原国家质量监督检验检疫总局第75号（2005）令《定量包装商品计量监督管理办法》</w:t>
            </w:r>
          </w:p>
        </w:tc>
      </w:tr>
    </w:tbl>
    <w:p>
      <w:pPr>
        <w:numPr>
          <w:ilvl w:val="0"/>
          <w:numId w:val="3"/>
        </w:numPr>
        <w:spacing w:before="50" w:after="50" w:line="48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术语和定义</w:t>
      </w:r>
    </w:p>
    <w:p>
      <w:pPr>
        <w:numPr>
          <w:ilvl w:val="255"/>
          <w:numId w:val="0"/>
        </w:numPr>
        <w:spacing w:before="50" w:after="50" w:line="480" w:lineRule="exact"/>
        <w:ind w:firstLine="420" w:firstLineChars="200"/>
        <w:outlineLvl w:val="1"/>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下列术语和定义适用于本文件。</w:t>
      </w:r>
    </w:p>
    <w:p>
      <w:pPr>
        <w:numPr>
          <w:ilvl w:val="1"/>
          <w:numId w:val="0"/>
        </w:numPr>
        <w:spacing w:before="50" w:after="50" w:line="480" w:lineRule="exact"/>
        <w:ind w:firstLine="420" w:firstLineChars="20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铁皮石斛</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兰科植物铁皮石斛</w:t>
      </w:r>
      <w:r>
        <w:rPr>
          <w:rFonts w:hint="default" w:ascii="原版宋体" w:hAnsi="原版宋体" w:eastAsia="宋体" w:cs="Times New Roman"/>
          <w:i/>
          <w:iCs/>
          <w:kern w:val="0"/>
          <w:szCs w:val="21"/>
        </w:rPr>
        <w:t xml:space="preserve">Dendrobium officinale </w:t>
      </w:r>
      <w:r>
        <w:rPr>
          <w:rFonts w:hint="default" w:ascii="原版宋体" w:hAnsi="原版宋体" w:eastAsia="宋体" w:cs="Times New Roman"/>
          <w:iCs/>
          <w:kern w:val="0"/>
          <w:szCs w:val="21"/>
          <w:lang w:eastAsia="en-US" w:bidi="en-US"/>
        </w:rPr>
        <w:t>Kimura et Migo</w:t>
      </w:r>
      <w:r>
        <w:rPr>
          <w:rFonts w:hint="default" w:ascii="原版宋体" w:hAnsi="原版宋体" w:eastAsia="宋体" w:cs="Times New Roman"/>
          <w:color w:val="000000"/>
          <w:kern w:val="0"/>
          <w:szCs w:val="21"/>
        </w:rPr>
        <w:t>鲜</w:t>
      </w:r>
      <w:r>
        <w:rPr>
          <w:rFonts w:hint="default" w:ascii="原版宋体" w:hAnsi="原版宋体" w:eastAsia="宋体" w:cs="Times New Roman"/>
          <w:iCs/>
          <w:color w:val="000000"/>
          <w:kern w:val="0"/>
          <w:szCs w:val="21"/>
        </w:rPr>
        <w:t>茎</w:t>
      </w:r>
      <w:r>
        <w:rPr>
          <w:rFonts w:hint="default" w:ascii="原版宋体" w:hAnsi="原版宋体" w:eastAsia="宋体" w:cs="Times New Roman"/>
          <w:color w:val="000000"/>
          <w:kern w:val="0"/>
          <w:szCs w:val="21"/>
        </w:rPr>
        <w:t>，经分拣、去叶、除根、漂洗、干燥等工序制成的产品，用作食品加工原料。</w:t>
      </w:r>
    </w:p>
    <w:p>
      <w:pPr>
        <w:spacing w:before="50" w:after="50" w:line="48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4.技术要求</w:t>
      </w:r>
    </w:p>
    <w:p>
      <w:pPr>
        <w:numPr>
          <w:ilvl w:val="1"/>
          <w:numId w:val="0"/>
        </w:numPr>
        <w:spacing w:before="289" w:beforeLines="50" w:after="289" w:afterLines="50" w:line="480" w:lineRule="exact"/>
        <w:ind w:firstLine="420" w:firstLineChars="20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4.1原料要求</w:t>
      </w:r>
    </w:p>
    <w:p>
      <w:pPr>
        <w:numPr>
          <w:ilvl w:val="1"/>
          <w:numId w:val="0"/>
        </w:numPr>
        <w:spacing w:before="289" w:beforeLines="50" w:after="289" w:afterLines="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铁皮石斛</w:t>
      </w:r>
    </w:p>
    <w:p>
      <w:pPr>
        <w:shd w:val="clear" w:color="auto" w:fill="FFFFFF"/>
        <w:spacing w:before="100" w:after="100" w:line="480" w:lineRule="exact"/>
        <w:ind w:firstLine="420" w:firstLineChars="200"/>
        <w:jc w:val="lef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铁皮石斛应新鲜、无虫蛀、无霉变，</w:t>
      </w:r>
      <w:r>
        <w:rPr>
          <w:rFonts w:hint="default" w:ascii="原版宋体" w:hAnsi="原版宋体" w:eastAsia="宋体" w:cs="Times New Roman"/>
          <w:color w:val="000000"/>
          <w:kern w:val="0"/>
          <w:szCs w:val="21"/>
          <w:shd w:val="clear" w:color="auto" w:fill="FFFFFF"/>
        </w:rPr>
        <w:t>呈圆柱形，表面黄绿色或略带金黄色，有细纵皱纹，节明显，节上有时可见残留的灰白色叶鞘，一端可见茎基部留下的短须根，断面平坦、呈翠绿色，气微，味淡，嚼之有黏性。</w:t>
      </w:r>
    </w:p>
    <w:p>
      <w:pPr>
        <w:numPr>
          <w:ilvl w:val="1"/>
          <w:numId w:val="0"/>
        </w:numPr>
        <w:spacing w:before="50" w:after="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4.2生产用水</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应符合GB 5749的规定。</w:t>
      </w:r>
    </w:p>
    <w:p>
      <w:pPr>
        <w:numPr>
          <w:ilvl w:val="1"/>
          <w:numId w:val="0"/>
        </w:numPr>
        <w:spacing w:before="50" w:after="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4.3感官要求</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lang w:bidi="en-US"/>
        </w:rPr>
      </w:pPr>
      <w:r>
        <w:rPr>
          <w:rFonts w:hint="default" w:ascii="原版宋体" w:hAnsi="原版宋体" w:eastAsia="宋体" w:cs="Times New Roman"/>
          <w:color w:val="000000"/>
          <w:kern w:val="0"/>
          <w:szCs w:val="21"/>
        </w:rPr>
        <w:t>应符合表1规定。</w:t>
      </w:r>
    </w:p>
    <w:p>
      <w:pPr>
        <w:numPr>
          <w:ilvl w:val="0"/>
          <w:numId w:val="2"/>
        </w:numPr>
        <w:spacing w:before="289" w:beforeLines="50" w:after="289" w:afterLines="50" w:line="480" w:lineRule="exact"/>
        <w:jc w:val="center"/>
        <w:rPr>
          <w:rFonts w:ascii="原版宋体" w:hAnsi="原版宋体" w:eastAsia="宋体" w:cs="Times New Roman"/>
          <w:kern w:val="0"/>
          <w:szCs w:val="21"/>
        </w:rPr>
      </w:pPr>
      <w:r>
        <w:rPr>
          <w:rFonts w:hint="default" w:ascii="原版宋体" w:hAnsi="原版宋体" w:eastAsia="宋体" w:cs="Times New Roman"/>
          <w:kern w:val="0"/>
          <w:szCs w:val="21"/>
        </w:rPr>
        <w:t>感官要求</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60"/>
        <w:gridCol w:w="4819"/>
        <w:gridCol w:w="24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3" w:hRule="atLeast"/>
          <w:jc w:val="center"/>
        </w:trPr>
        <w:tc>
          <w:tcPr>
            <w:tcW w:w="1260"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项目</w:t>
            </w:r>
          </w:p>
        </w:tc>
        <w:tc>
          <w:tcPr>
            <w:tcW w:w="4819"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要求</w:t>
            </w:r>
          </w:p>
        </w:tc>
        <w:tc>
          <w:tcPr>
            <w:tcW w:w="2443"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检验方法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1" w:hRule="atLeast"/>
          <w:jc w:val="center"/>
        </w:trPr>
        <w:tc>
          <w:tcPr>
            <w:tcW w:w="1260" w:type="dxa"/>
            <w:vAlign w:val="center"/>
          </w:tcPr>
          <w:p>
            <w:pPr>
              <w:tabs>
                <w:tab w:val="center" w:pos="4201"/>
                <w:tab w:val="right" w:leader="dot" w:pos="9298"/>
              </w:tabs>
              <w:spacing w:line="48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色泽</w:t>
            </w:r>
          </w:p>
        </w:tc>
        <w:tc>
          <w:tcPr>
            <w:tcW w:w="4819" w:type="dxa"/>
            <w:vAlign w:val="center"/>
          </w:tcPr>
          <w:p>
            <w:pPr>
              <w:tabs>
                <w:tab w:val="center" w:pos="4201"/>
                <w:tab w:val="right" w:leader="dot" w:pos="9298"/>
              </w:tabs>
              <w:spacing w:line="480" w:lineRule="exact"/>
              <w:ind w:firstLine="210" w:firstLineChars="1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表面黄绿色或略带金黄色，断面灰白色至灰绿色</w:t>
            </w:r>
          </w:p>
        </w:tc>
        <w:tc>
          <w:tcPr>
            <w:tcW w:w="2443" w:type="dxa"/>
            <w:vMerge w:val="restart"/>
            <w:vAlign w:val="center"/>
          </w:tcPr>
          <w:p>
            <w:pPr>
              <w:autoSpaceDE w:val="0"/>
              <w:autoSpaceDN w:val="0"/>
              <w:adjustRightInd w:val="0"/>
              <w:spacing w:line="480" w:lineRule="exact"/>
              <w:rPr>
                <w:rFonts w:ascii="原版宋体" w:hAnsi="原版宋体" w:eastAsia="宋体" w:cs="Times New Roman"/>
                <w:color w:val="000000"/>
                <w:kern w:val="0"/>
                <w:szCs w:val="21"/>
              </w:rPr>
            </w:pPr>
            <w:r>
              <w:rPr>
                <w:rFonts w:hint="default" w:ascii="原版宋体" w:hAnsi="原版宋体" w:eastAsia="宋体" w:cs="Times New Roman"/>
                <w:kern w:val="0"/>
                <w:szCs w:val="21"/>
              </w:rPr>
              <w:t>取适量样品置于洁净白色瓷盘中，在自然光线下目视色泽、组织形态、杂质，嗅其气味，用温开水漱口后尝其滋味。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3" w:hRule="atLeast"/>
          <w:jc w:val="center"/>
        </w:trPr>
        <w:tc>
          <w:tcPr>
            <w:tcW w:w="1260"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气味、滋味</w:t>
            </w:r>
          </w:p>
        </w:tc>
        <w:tc>
          <w:tcPr>
            <w:tcW w:w="4819" w:type="dxa"/>
            <w:vAlign w:val="center"/>
          </w:tcPr>
          <w:p>
            <w:pPr>
              <w:tabs>
                <w:tab w:val="center" w:pos="4201"/>
                <w:tab w:val="right" w:leader="dot" w:pos="9298"/>
              </w:tabs>
              <w:spacing w:line="48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呈本品特有的气味及滋味，无异味</w:t>
            </w:r>
          </w:p>
        </w:tc>
        <w:tc>
          <w:tcPr>
            <w:tcW w:w="2443" w:type="dxa"/>
            <w:vMerge w:val="continue"/>
            <w:vAlign w:val="center"/>
          </w:tcPr>
          <w:p>
            <w:pPr>
              <w:tabs>
                <w:tab w:val="center" w:pos="4201"/>
                <w:tab w:val="right" w:leader="dot" w:pos="9298"/>
              </w:tabs>
              <w:spacing w:line="480" w:lineRule="exact"/>
              <w:rPr>
                <w:rFonts w:ascii="原版宋体" w:hAnsi="原版宋体" w:eastAsia="宋体" w:cs="Times New Roman"/>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1" w:hRule="atLeast"/>
          <w:jc w:val="center"/>
        </w:trPr>
        <w:tc>
          <w:tcPr>
            <w:tcW w:w="1260" w:type="dxa"/>
            <w:vAlign w:val="center"/>
          </w:tcPr>
          <w:p>
            <w:pPr>
              <w:tabs>
                <w:tab w:val="center" w:pos="4201"/>
                <w:tab w:val="right" w:leader="dot" w:pos="9298"/>
              </w:tabs>
              <w:spacing w:line="48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组织形态</w:t>
            </w:r>
          </w:p>
        </w:tc>
        <w:tc>
          <w:tcPr>
            <w:tcW w:w="4819" w:type="dxa"/>
            <w:vAlign w:val="center"/>
          </w:tcPr>
          <w:p>
            <w:pPr>
              <w:tabs>
                <w:tab w:val="center" w:pos="4201"/>
                <w:tab w:val="right" w:leader="dot" w:pos="9298"/>
              </w:tabs>
              <w:spacing w:line="48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呈圆柱形，有</w:t>
            </w:r>
            <w:r>
              <w:rPr>
                <w:rFonts w:hint="default" w:ascii="原版宋体" w:hAnsi="原版宋体" w:eastAsia="宋体" w:cs="Times New Roman"/>
                <w:color w:val="000000"/>
                <w:kern w:val="0"/>
                <w:szCs w:val="21"/>
                <w:shd w:val="clear" w:color="auto" w:fill="FFFFFF"/>
              </w:rPr>
              <w:t>细纵皱纹，无霉变、无虫蛀</w:t>
            </w:r>
          </w:p>
        </w:tc>
        <w:tc>
          <w:tcPr>
            <w:tcW w:w="2443" w:type="dxa"/>
            <w:vMerge w:val="continue"/>
            <w:vAlign w:val="center"/>
          </w:tcPr>
          <w:p>
            <w:pPr>
              <w:tabs>
                <w:tab w:val="center" w:pos="4201"/>
                <w:tab w:val="right" w:leader="dot" w:pos="9298"/>
              </w:tabs>
              <w:spacing w:line="480" w:lineRule="exact"/>
              <w:rPr>
                <w:rFonts w:ascii="原版宋体" w:hAnsi="原版宋体" w:eastAsia="宋体" w:cs="Times New Roman"/>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3" w:hRule="atLeast"/>
          <w:jc w:val="center"/>
        </w:trPr>
        <w:tc>
          <w:tcPr>
            <w:tcW w:w="1260" w:type="dxa"/>
            <w:vAlign w:val="center"/>
          </w:tcPr>
          <w:p>
            <w:pPr>
              <w:tabs>
                <w:tab w:val="center" w:pos="4201"/>
                <w:tab w:val="right" w:leader="dot" w:pos="9298"/>
              </w:tabs>
              <w:spacing w:line="48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杂质</w:t>
            </w:r>
          </w:p>
        </w:tc>
        <w:tc>
          <w:tcPr>
            <w:tcW w:w="4819" w:type="dxa"/>
            <w:vAlign w:val="center"/>
          </w:tcPr>
          <w:p>
            <w:pPr>
              <w:tabs>
                <w:tab w:val="center" w:pos="4201"/>
                <w:tab w:val="right" w:leader="dot" w:pos="9298"/>
              </w:tabs>
              <w:spacing w:line="48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无正常视力可见的外来杂质</w:t>
            </w:r>
          </w:p>
        </w:tc>
        <w:tc>
          <w:tcPr>
            <w:tcW w:w="2443" w:type="dxa"/>
            <w:vMerge w:val="continue"/>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p>
        </w:tc>
      </w:tr>
    </w:tbl>
    <w:p>
      <w:pPr>
        <w:numPr>
          <w:ilvl w:val="1"/>
          <w:numId w:val="0"/>
        </w:numPr>
        <w:spacing w:before="50" w:after="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4.4理化指标</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应符合表2的规定。</w:t>
      </w:r>
    </w:p>
    <w:p>
      <w:pPr>
        <w:numPr>
          <w:ilvl w:val="0"/>
          <w:numId w:val="2"/>
        </w:numPr>
        <w:spacing w:before="289" w:beforeLines="50" w:after="289" w:afterLines="50" w:line="480" w:lineRule="exact"/>
        <w:jc w:val="center"/>
        <w:rPr>
          <w:rFonts w:ascii="原版宋体" w:hAnsi="原版宋体" w:eastAsia="宋体" w:cs="Times New Roman"/>
          <w:kern w:val="0"/>
          <w:szCs w:val="21"/>
        </w:rPr>
      </w:pPr>
      <w:r>
        <w:rPr>
          <w:rFonts w:hint="default" w:ascii="原版宋体" w:hAnsi="原版宋体" w:eastAsia="宋体" w:cs="Times New Roman"/>
          <w:kern w:val="0"/>
          <w:szCs w:val="21"/>
        </w:rPr>
        <w:t>理化指标</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341"/>
        <w:gridCol w:w="1730"/>
        <w:gridCol w:w="25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3" w:hRule="atLeast"/>
          <w:jc w:val="center"/>
        </w:trPr>
        <w:tc>
          <w:tcPr>
            <w:tcW w:w="4341"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项目</w:t>
            </w:r>
          </w:p>
        </w:tc>
        <w:tc>
          <w:tcPr>
            <w:tcW w:w="1730"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指标</w:t>
            </w:r>
          </w:p>
        </w:tc>
        <w:tc>
          <w:tcPr>
            <w:tcW w:w="2581"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检验方法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88" w:hRule="atLeast"/>
          <w:jc w:val="center"/>
        </w:trPr>
        <w:tc>
          <w:tcPr>
            <w:tcW w:w="4341" w:type="dxa"/>
            <w:vAlign w:val="center"/>
          </w:tcPr>
          <w:p>
            <w:pPr>
              <w:tabs>
                <w:tab w:val="center" w:pos="4201"/>
                <w:tab w:val="right" w:leader="dot" w:pos="9298"/>
              </w:tabs>
              <w:spacing w:line="480" w:lineRule="exact"/>
              <w:jc w:val="lef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水分/（%）                           ≤</w:t>
            </w:r>
          </w:p>
        </w:tc>
        <w:tc>
          <w:tcPr>
            <w:tcW w:w="1730" w:type="dxa"/>
            <w:vAlign w:val="center"/>
          </w:tcPr>
          <w:p>
            <w:pPr>
              <w:autoSpaceDE w:val="0"/>
              <w:autoSpaceDN w:val="0"/>
              <w:adjustRightInd w:val="0"/>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11.0</w:t>
            </w:r>
          </w:p>
        </w:tc>
        <w:tc>
          <w:tcPr>
            <w:tcW w:w="2581" w:type="dxa"/>
            <w:vAlign w:val="center"/>
          </w:tcPr>
          <w:p>
            <w:pPr>
              <w:autoSpaceDE w:val="0"/>
              <w:autoSpaceDN w:val="0"/>
              <w:adjustRightInd w:val="0"/>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GB 5009.3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3" w:hRule="atLeast"/>
          <w:jc w:val="center"/>
        </w:trPr>
        <w:tc>
          <w:tcPr>
            <w:tcW w:w="4341" w:type="dxa"/>
            <w:vAlign w:val="center"/>
          </w:tcPr>
          <w:p>
            <w:pPr>
              <w:tabs>
                <w:tab w:val="center" w:pos="4201"/>
                <w:tab w:val="right" w:leader="dot" w:pos="9298"/>
              </w:tabs>
              <w:spacing w:line="480" w:lineRule="exact"/>
              <w:ind w:left="3570" w:hanging="3570" w:hangingChars="1700"/>
              <w:jc w:val="lef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总灰分/（%）（以干基计）             ≤</w:t>
            </w:r>
          </w:p>
        </w:tc>
        <w:tc>
          <w:tcPr>
            <w:tcW w:w="1730" w:type="dxa"/>
            <w:vAlign w:val="center"/>
          </w:tcPr>
          <w:p>
            <w:pPr>
              <w:autoSpaceDE w:val="0"/>
              <w:autoSpaceDN w:val="0"/>
              <w:adjustRightInd w:val="0"/>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6.0</w:t>
            </w:r>
          </w:p>
        </w:tc>
        <w:tc>
          <w:tcPr>
            <w:tcW w:w="2581"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GB 5009.4 第一法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88" w:hRule="atLeast"/>
          <w:jc w:val="center"/>
        </w:trPr>
        <w:tc>
          <w:tcPr>
            <w:tcW w:w="4341" w:type="dxa"/>
            <w:vAlign w:val="center"/>
          </w:tcPr>
          <w:p>
            <w:pPr>
              <w:tabs>
                <w:tab w:val="center" w:pos="4201"/>
                <w:tab w:val="right" w:leader="dot" w:pos="9298"/>
              </w:tabs>
              <w:spacing w:line="480" w:lineRule="exact"/>
              <w:jc w:val="lef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粗多糖（以无水葡萄糖计）/（%）       ≥</w:t>
            </w:r>
          </w:p>
        </w:tc>
        <w:tc>
          <w:tcPr>
            <w:tcW w:w="1730" w:type="dxa"/>
            <w:vAlign w:val="center"/>
          </w:tcPr>
          <w:p>
            <w:pPr>
              <w:autoSpaceDE w:val="0"/>
              <w:autoSpaceDN w:val="0"/>
              <w:adjustRightInd w:val="0"/>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20.0</w:t>
            </w:r>
          </w:p>
        </w:tc>
        <w:tc>
          <w:tcPr>
            <w:tcW w:w="2581" w:type="dxa"/>
            <w:vAlign w:val="center"/>
          </w:tcPr>
          <w:p>
            <w:pPr>
              <w:autoSpaceDE w:val="0"/>
              <w:autoSpaceDN w:val="0"/>
              <w:adjustRightInd w:val="0"/>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参照《中华人民共和国药典》2020版一部 铁皮石斛 多糖</w:t>
            </w:r>
          </w:p>
        </w:tc>
      </w:tr>
    </w:tbl>
    <w:p>
      <w:pPr>
        <w:numPr>
          <w:ilvl w:val="1"/>
          <w:numId w:val="0"/>
        </w:numPr>
        <w:spacing w:before="50" w:after="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4.5污染物限量</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应符合表3的规定。</w:t>
      </w:r>
    </w:p>
    <w:p>
      <w:pPr>
        <w:numPr>
          <w:ilvl w:val="0"/>
          <w:numId w:val="2"/>
        </w:numPr>
        <w:spacing w:before="289" w:beforeLines="50" w:after="289" w:afterLines="50" w:line="480" w:lineRule="exact"/>
        <w:jc w:val="center"/>
        <w:rPr>
          <w:rFonts w:ascii="原版宋体" w:hAnsi="原版宋体" w:eastAsia="宋体" w:cs="Times New Roman"/>
          <w:kern w:val="0"/>
          <w:szCs w:val="21"/>
        </w:rPr>
      </w:pPr>
      <w:r>
        <w:rPr>
          <w:rFonts w:hint="default" w:ascii="原版宋体" w:hAnsi="原版宋体" w:eastAsia="宋体" w:cs="Times New Roman"/>
          <w:kern w:val="0"/>
          <w:szCs w:val="21"/>
        </w:rPr>
        <w:t>污染物限量</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106"/>
        <w:gridCol w:w="1843"/>
        <w:gridCol w:w="28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5" w:hRule="atLeast"/>
          <w:jc w:val="center"/>
        </w:trPr>
        <w:tc>
          <w:tcPr>
            <w:tcW w:w="4106"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项目</w:t>
            </w:r>
          </w:p>
        </w:tc>
        <w:tc>
          <w:tcPr>
            <w:tcW w:w="1843"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限量</w:t>
            </w:r>
          </w:p>
        </w:tc>
        <w:tc>
          <w:tcPr>
            <w:tcW w:w="2835" w:type="dxa"/>
            <w:vAlign w:val="center"/>
          </w:tcPr>
          <w:p>
            <w:pPr>
              <w:tabs>
                <w:tab w:val="center" w:pos="4201"/>
                <w:tab w:val="right" w:leader="dot" w:pos="9298"/>
              </w:tabs>
              <w:spacing w:line="48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检验方法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5" w:hRule="atLeast"/>
          <w:jc w:val="center"/>
        </w:trPr>
        <w:tc>
          <w:tcPr>
            <w:tcW w:w="4106" w:type="dxa"/>
            <w:vAlign w:val="center"/>
          </w:tcPr>
          <w:p>
            <w:pPr>
              <w:spacing w:line="480" w:lineRule="exact"/>
              <w:jc w:val="left"/>
              <w:rPr>
                <w:rFonts w:ascii="原版宋体" w:hAnsi="原版宋体" w:eastAsia="宋体" w:cs="Times New Roman"/>
                <w:kern w:val="0"/>
                <w:szCs w:val="21"/>
                <w:lang w:bidi="en-US"/>
              </w:rPr>
            </w:pPr>
            <w:r>
              <w:rPr>
                <w:rFonts w:hint="default" w:ascii="原版宋体" w:hAnsi="原版宋体" w:eastAsia="宋体" w:cs="Times New Roman"/>
                <w:kern w:val="0"/>
                <w:szCs w:val="21"/>
                <w:lang w:bidi="en-US"/>
              </w:rPr>
              <w:t xml:space="preserve">铅（以Pb计）/（mg/kg）               </w:t>
            </w:r>
          </w:p>
        </w:tc>
        <w:tc>
          <w:tcPr>
            <w:tcW w:w="1843" w:type="dxa"/>
            <w:vAlign w:val="center"/>
          </w:tcPr>
          <w:p>
            <w:pPr>
              <w:spacing w:line="480" w:lineRule="exact"/>
              <w:jc w:val="center"/>
              <w:rPr>
                <w:rFonts w:ascii="原版宋体" w:hAnsi="原版宋体" w:eastAsia="宋体" w:cs="Times New Roman"/>
                <w:kern w:val="0"/>
                <w:szCs w:val="21"/>
                <w:lang w:eastAsia="en-US" w:bidi="en-US"/>
              </w:rPr>
            </w:pPr>
            <w:r>
              <w:rPr>
                <w:rFonts w:hint="default" w:ascii="原版宋体" w:hAnsi="原版宋体" w:eastAsia="宋体" w:cs="Times New Roman"/>
                <w:kern w:val="0"/>
                <w:szCs w:val="21"/>
                <w:lang w:bidi="en-US"/>
              </w:rPr>
              <w:t>1.0</w:t>
            </w:r>
          </w:p>
        </w:tc>
        <w:tc>
          <w:tcPr>
            <w:tcW w:w="2835" w:type="dxa"/>
            <w:vAlign w:val="center"/>
          </w:tcPr>
          <w:p>
            <w:pPr>
              <w:spacing w:line="480" w:lineRule="exact"/>
              <w:jc w:val="center"/>
              <w:rPr>
                <w:rFonts w:ascii="原版宋体" w:hAnsi="原版宋体" w:eastAsia="宋体" w:cs="Times New Roman"/>
                <w:kern w:val="0"/>
                <w:szCs w:val="21"/>
                <w:lang w:bidi="en-US"/>
              </w:rPr>
            </w:pPr>
            <w:r>
              <w:rPr>
                <w:rFonts w:hint="default" w:ascii="原版宋体" w:hAnsi="原版宋体" w:eastAsia="宋体" w:cs="Times New Roman"/>
                <w:kern w:val="0"/>
                <w:szCs w:val="21"/>
                <w:lang w:eastAsia="en-US" w:bidi="en-US"/>
              </w:rPr>
              <w:t>GB 5009.12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5" w:hRule="atLeast"/>
          <w:jc w:val="center"/>
        </w:trPr>
        <w:tc>
          <w:tcPr>
            <w:tcW w:w="4106" w:type="dxa"/>
            <w:vAlign w:val="center"/>
          </w:tcPr>
          <w:p>
            <w:pPr>
              <w:spacing w:line="480" w:lineRule="exact"/>
              <w:jc w:val="left"/>
              <w:rPr>
                <w:rFonts w:ascii="原版宋体" w:hAnsi="原版宋体" w:eastAsia="宋体" w:cs="Times New Roman"/>
                <w:kern w:val="0"/>
                <w:szCs w:val="21"/>
                <w:lang w:bidi="en-US"/>
              </w:rPr>
            </w:pPr>
            <w:r>
              <w:rPr>
                <w:rFonts w:hint="default" w:ascii="原版宋体" w:hAnsi="原版宋体" w:eastAsia="宋体" w:cs="Times New Roman"/>
                <w:kern w:val="0"/>
                <w:szCs w:val="21"/>
                <w:lang w:bidi="en-US"/>
              </w:rPr>
              <w:t xml:space="preserve">总砷（以As计）/（mg/kg）             </w:t>
            </w:r>
          </w:p>
        </w:tc>
        <w:tc>
          <w:tcPr>
            <w:tcW w:w="1843" w:type="dxa"/>
            <w:vAlign w:val="center"/>
          </w:tcPr>
          <w:p>
            <w:pPr>
              <w:spacing w:line="480" w:lineRule="exact"/>
              <w:jc w:val="center"/>
              <w:rPr>
                <w:rFonts w:ascii="原版宋体" w:hAnsi="原版宋体" w:eastAsia="宋体" w:cs="Times New Roman"/>
                <w:kern w:val="0"/>
                <w:szCs w:val="21"/>
                <w:lang w:eastAsia="en-US" w:bidi="en-US"/>
              </w:rPr>
            </w:pPr>
            <w:r>
              <w:rPr>
                <w:rFonts w:hint="default" w:ascii="原版宋体" w:hAnsi="原版宋体" w:eastAsia="宋体" w:cs="Times New Roman"/>
                <w:kern w:val="0"/>
                <w:szCs w:val="21"/>
                <w:lang w:eastAsia="en-US" w:bidi="en-US"/>
              </w:rPr>
              <w:t>0.5</w:t>
            </w:r>
          </w:p>
        </w:tc>
        <w:tc>
          <w:tcPr>
            <w:tcW w:w="2835" w:type="dxa"/>
            <w:vAlign w:val="center"/>
          </w:tcPr>
          <w:p>
            <w:pPr>
              <w:spacing w:line="480" w:lineRule="exact"/>
              <w:jc w:val="center"/>
              <w:rPr>
                <w:rFonts w:ascii="原版宋体" w:hAnsi="原版宋体" w:eastAsia="宋体" w:cs="Times New Roman"/>
                <w:kern w:val="0"/>
                <w:szCs w:val="21"/>
                <w:lang w:eastAsia="en-US" w:bidi="en-US"/>
              </w:rPr>
            </w:pPr>
            <w:r>
              <w:rPr>
                <w:rFonts w:hint="default" w:ascii="原版宋体" w:hAnsi="原版宋体" w:eastAsia="宋体" w:cs="Times New Roman"/>
                <w:kern w:val="0"/>
                <w:szCs w:val="21"/>
                <w:lang w:eastAsia="en-US" w:bidi="en-US"/>
              </w:rPr>
              <w:t>GB 5009.11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5" w:hRule="atLeast"/>
          <w:jc w:val="center"/>
        </w:trPr>
        <w:tc>
          <w:tcPr>
            <w:tcW w:w="4106" w:type="dxa"/>
            <w:vAlign w:val="center"/>
          </w:tcPr>
          <w:p>
            <w:pPr>
              <w:spacing w:line="480" w:lineRule="exact"/>
              <w:jc w:val="left"/>
              <w:rPr>
                <w:rFonts w:ascii="原版宋体" w:hAnsi="原版宋体" w:eastAsia="宋体" w:cs="Times New Roman"/>
                <w:kern w:val="0"/>
                <w:szCs w:val="21"/>
                <w:lang w:bidi="en-US"/>
              </w:rPr>
            </w:pPr>
            <w:r>
              <w:rPr>
                <w:rFonts w:hint="default" w:ascii="原版宋体" w:hAnsi="原版宋体" w:eastAsia="宋体" w:cs="Times New Roman"/>
                <w:kern w:val="0"/>
                <w:szCs w:val="21"/>
                <w:lang w:bidi="en-US"/>
              </w:rPr>
              <w:t xml:space="preserve">镉（以Cd计）/（mg/kg）             </w:t>
            </w:r>
          </w:p>
        </w:tc>
        <w:tc>
          <w:tcPr>
            <w:tcW w:w="1843" w:type="dxa"/>
            <w:vAlign w:val="center"/>
          </w:tcPr>
          <w:p>
            <w:pPr>
              <w:spacing w:line="480" w:lineRule="exact"/>
              <w:jc w:val="center"/>
              <w:rPr>
                <w:rFonts w:ascii="原版宋体" w:hAnsi="原版宋体" w:eastAsia="宋体" w:cs="Times New Roman"/>
                <w:kern w:val="0"/>
                <w:szCs w:val="21"/>
                <w:lang w:bidi="en-US"/>
              </w:rPr>
            </w:pPr>
            <w:r>
              <w:rPr>
                <w:rFonts w:hint="default" w:ascii="原版宋体" w:hAnsi="原版宋体" w:eastAsia="宋体" w:cs="Times New Roman"/>
                <w:kern w:val="0"/>
                <w:szCs w:val="21"/>
                <w:lang w:eastAsia="en-US" w:bidi="en-US"/>
              </w:rPr>
              <w:t>0.</w:t>
            </w:r>
            <w:r>
              <w:rPr>
                <w:rFonts w:hint="default" w:ascii="原版宋体" w:hAnsi="原版宋体" w:eastAsia="宋体" w:cs="Times New Roman"/>
                <w:kern w:val="0"/>
                <w:szCs w:val="21"/>
                <w:lang w:bidi="en-US"/>
              </w:rPr>
              <w:t>5</w:t>
            </w:r>
          </w:p>
        </w:tc>
        <w:tc>
          <w:tcPr>
            <w:tcW w:w="2835" w:type="dxa"/>
            <w:vAlign w:val="center"/>
          </w:tcPr>
          <w:p>
            <w:pPr>
              <w:spacing w:line="480" w:lineRule="exact"/>
              <w:jc w:val="center"/>
              <w:rPr>
                <w:rFonts w:ascii="原版宋体" w:hAnsi="原版宋体" w:eastAsia="宋体" w:cs="Times New Roman"/>
                <w:kern w:val="0"/>
                <w:szCs w:val="21"/>
                <w:lang w:eastAsia="en-US" w:bidi="en-US"/>
              </w:rPr>
            </w:pPr>
            <w:r>
              <w:rPr>
                <w:rFonts w:hint="default" w:ascii="原版宋体" w:hAnsi="原版宋体" w:eastAsia="宋体" w:cs="Times New Roman"/>
                <w:kern w:val="0"/>
                <w:szCs w:val="21"/>
                <w:lang w:eastAsia="en-US" w:bidi="en-US"/>
              </w:rPr>
              <w:t>GB 5009.15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5" w:hRule="atLeast"/>
          <w:jc w:val="center"/>
        </w:trPr>
        <w:tc>
          <w:tcPr>
            <w:tcW w:w="4106" w:type="dxa"/>
            <w:vAlign w:val="center"/>
          </w:tcPr>
          <w:p>
            <w:pPr>
              <w:spacing w:line="480" w:lineRule="exact"/>
              <w:jc w:val="left"/>
              <w:rPr>
                <w:rFonts w:ascii="原版宋体" w:hAnsi="原版宋体" w:eastAsia="宋体" w:cs="Times New Roman"/>
                <w:kern w:val="0"/>
                <w:szCs w:val="21"/>
                <w:lang w:bidi="en-US"/>
              </w:rPr>
            </w:pPr>
            <w:r>
              <w:rPr>
                <w:rFonts w:hint="default" w:ascii="原版宋体" w:hAnsi="原版宋体" w:eastAsia="宋体" w:cs="Times New Roman"/>
                <w:kern w:val="0"/>
                <w:szCs w:val="21"/>
                <w:lang w:bidi="en-US"/>
              </w:rPr>
              <w:t xml:space="preserve">总汞（以Hg计）/（mg/kg）          </w:t>
            </w:r>
          </w:p>
        </w:tc>
        <w:tc>
          <w:tcPr>
            <w:tcW w:w="1843" w:type="dxa"/>
            <w:vAlign w:val="center"/>
          </w:tcPr>
          <w:p>
            <w:pPr>
              <w:spacing w:line="480" w:lineRule="exact"/>
              <w:jc w:val="center"/>
              <w:rPr>
                <w:rFonts w:ascii="原版宋体" w:hAnsi="原版宋体" w:eastAsia="宋体" w:cs="Times New Roman"/>
                <w:kern w:val="0"/>
                <w:szCs w:val="21"/>
                <w:lang w:bidi="en-US"/>
              </w:rPr>
            </w:pPr>
            <w:r>
              <w:rPr>
                <w:rFonts w:hint="default" w:ascii="原版宋体" w:hAnsi="原版宋体" w:eastAsia="宋体" w:cs="Times New Roman"/>
                <w:kern w:val="0"/>
                <w:szCs w:val="21"/>
                <w:lang w:bidi="en-US"/>
              </w:rPr>
              <w:t>0.01</w:t>
            </w:r>
          </w:p>
        </w:tc>
        <w:tc>
          <w:tcPr>
            <w:tcW w:w="2835" w:type="dxa"/>
            <w:vAlign w:val="center"/>
          </w:tcPr>
          <w:p>
            <w:pPr>
              <w:spacing w:line="480" w:lineRule="exact"/>
              <w:jc w:val="center"/>
              <w:rPr>
                <w:rFonts w:ascii="原版宋体" w:hAnsi="原版宋体" w:eastAsia="宋体" w:cs="Times New Roman"/>
                <w:kern w:val="0"/>
                <w:szCs w:val="21"/>
                <w:lang w:bidi="en-US"/>
              </w:rPr>
            </w:pPr>
            <w:r>
              <w:rPr>
                <w:rFonts w:hint="default" w:ascii="原版宋体" w:hAnsi="原版宋体" w:eastAsia="宋体" w:cs="Times New Roman"/>
                <w:kern w:val="0"/>
                <w:szCs w:val="21"/>
                <w:lang w:eastAsia="en-US" w:bidi="en-US"/>
              </w:rPr>
              <w:t>GB 5009.1</w:t>
            </w:r>
            <w:r>
              <w:rPr>
                <w:rFonts w:hint="default" w:ascii="原版宋体" w:hAnsi="原版宋体" w:eastAsia="宋体" w:cs="Times New Roman"/>
                <w:kern w:val="0"/>
                <w:szCs w:val="21"/>
                <w:lang w:bidi="en-US"/>
              </w:rPr>
              <w:t>7</w:t>
            </w:r>
          </w:p>
        </w:tc>
      </w:tr>
    </w:tbl>
    <w:p>
      <w:pPr>
        <w:numPr>
          <w:ilvl w:val="1"/>
          <w:numId w:val="0"/>
        </w:numPr>
        <w:spacing w:before="50" w:after="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4.6农药残留限量</w:t>
      </w:r>
    </w:p>
    <w:p>
      <w:pPr>
        <w:spacing w:line="480" w:lineRule="exact"/>
        <w:ind w:firstLine="420" w:firstLineChars="200"/>
        <w:jc w:val="left"/>
        <w:rPr>
          <w:rFonts w:ascii="原版宋体" w:hAnsi="原版宋体" w:eastAsia="宋体" w:cs="Times New Roman"/>
          <w:kern w:val="0"/>
          <w:szCs w:val="21"/>
          <w:lang w:bidi="ar"/>
        </w:rPr>
      </w:pPr>
      <w:r>
        <w:rPr>
          <w:rFonts w:hint="default" w:ascii="原版宋体" w:hAnsi="原版宋体" w:eastAsia="宋体" w:cs="Times New Roman"/>
          <w:kern w:val="0"/>
          <w:szCs w:val="21"/>
          <w:lang w:bidi="ar"/>
        </w:rPr>
        <w:t>农药残留限量应符合GB 2763及国家有关规定。</w:t>
      </w:r>
    </w:p>
    <w:p>
      <w:pPr>
        <w:numPr>
          <w:ilvl w:val="1"/>
          <w:numId w:val="0"/>
        </w:numPr>
        <w:spacing w:before="50" w:after="50" w:line="48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4.7净含量</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预包装食品净含量应符合原国家质量监督检验检疫总局第75号（2005）令《定量包装商品计量监督管理办法》的要求，净含量检测应按照JJF 1070的规定执行。</w:t>
      </w:r>
    </w:p>
    <w:p>
      <w:pPr>
        <w:spacing w:before="50" w:after="50" w:line="48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5.生产加工过程卫生要求</w:t>
      </w:r>
    </w:p>
    <w:p>
      <w:pPr>
        <w:tabs>
          <w:tab w:val="center" w:pos="4201"/>
          <w:tab w:val="right" w:leader="dot" w:pos="9298"/>
        </w:tabs>
        <w:spacing w:line="48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生产加工过程中的卫生要求应符合GB 14881的规定。</w:t>
      </w:r>
    </w:p>
    <w:p>
      <w:pPr>
        <w:spacing w:before="50" w:after="50" w:line="48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6.标签、包装、运输、贮存</w:t>
      </w:r>
    </w:p>
    <w:p>
      <w:pPr>
        <w:numPr>
          <w:ilvl w:val="1"/>
          <w:numId w:val="0"/>
        </w:numPr>
        <w:spacing w:line="480" w:lineRule="exact"/>
        <w:ind w:left="420"/>
        <w:outlineLvl w:val="3"/>
        <w:rPr>
          <w:rFonts w:ascii="原版宋体" w:hAnsi="原版宋体" w:eastAsia="宋体" w:cs="Times New Roman"/>
          <w:color w:val="000000"/>
          <w:szCs w:val="21"/>
        </w:rPr>
      </w:pPr>
      <w:r>
        <w:rPr>
          <w:rFonts w:hint="default" w:ascii="原版宋体" w:hAnsi="原版宋体" w:eastAsia="宋体" w:cs="Times New Roman"/>
          <w:color w:val="000000"/>
          <w:szCs w:val="21"/>
        </w:rPr>
        <w:t>6.1标签</w:t>
      </w:r>
    </w:p>
    <w:p>
      <w:pPr>
        <w:numPr>
          <w:ilvl w:val="1"/>
          <w:numId w:val="0"/>
        </w:numPr>
        <w:tabs>
          <w:tab w:val="center" w:pos="4201"/>
          <w:tab w:val="right" w:leader="dot" w:pos="9298"/>
        </w:tabs>
        <w:spacing w:line="480" w:lineRule="exact"/>
        <w:ind w:firstLine="420" w:firstLineChars="200"/>
        <w:outlineLvl w:val="2"/>
        <w:rPr>
          <w:rFonts w:ascii="原版宋体" w:hAnsi="原版宋体" w:eastAsia="宋体" w:cs="Times New Roman"/>
          <w:szCs w:val="21"/>
        </w:rPr>
      </w:pPr>
      <w:r>
        <w:rPr>
          <w:rFonts w:hint="default" w:ascii="原版宋体" w:hAnsi="原版宋体" w:eastAsia="宋体" w:cs="Times New Roman"/>
          <w:bCs/>
          <w:szCs w:val="21"/>
        </w:rPr>
        <w:t>6.1.1</w:t>
      </w:r>
      <w:r>
        <w:rPr>
          <w:rFonts w:hint="default" w:ascii="原版宋体" w:hAnsi="原版宋体" w:eastAsia="宋体" w:cs="Times New Roman"/>
          <w:szCs w:val="21"/>
        </w:rPr>
        <w:t>预包装食品标签应符合GB 7718的规定。</w:t>
      </w:r>
    </w:p>
    <w:p>
      <w:pPr>
        <w:numPr>
          <w:ilvl w:val="1"/>
          <w:numId w:val="0"/>
        </w:numPr>
        <w:tabs>
          <w:tab w:val="center" w:pos="4201"/>
          <w:tab w:val="right" w:leader="dot" w:pos="9298"/>
        </w:tabs>
        <w:spacing w:line="480" w:lineRule="exact"/>
        <w:ind w:firstLine="420" w:firstLineChars="200"/>
        <w:outlineLvl w:val="2"/>
        <w:rPr>
          <w:rFonts w:ascii="原版宋体" w:hAnsi="原版宋体" w:eastAsia="宋体" w:cs="Times New Roman"/>
          <w:szCs w:val="21"/>
        </w:rPr>
      </w:pPr>
      <w:r>
        <w:rPr>
          <w:rFonts w:hint="default" w:ascii="原版宋体" w:hAnsi="原版宋体" w:eastAsia="宋体" w:cs="Times New Roman"/>
          <w:bCs/>
          <w:szCs w:val="21"/>
        </w:rPr>
        <w:t>6.1.2</w:t>
      </w:r>
      <w:r>
        <w:rPr>
          <w:rFonts w:hint="default" w:ascii="原版宋体" w:hAnsi="原版宋体" w:eastAsia="宋体" w:cs="Times New Roman"/>
          <w:szCs w:val="21"/>
        </w:rPr>
        <w:t>铁皮石斛的每日摄入量应≤3g/天（以干品计），并应在标签中标注。</w:t>
      </w:r>
    </w:p>
    <w:p>
      <w:pPr>
        <w:numPr>
          <w:ilvl w:val="1"/>
          <w:numId w:val="0"/>
        </w:numPr>
        <w:tabs>
          <w:tab w:val="center" w:pos="4201"/>
          <w:tab w:val="right" w:leader="dot" w:pos="9298"/>
        </w:tabs>
        <w:spacing w:line="480" w:lineRule="exact"/>
        <w:ind w:firstLine="420" w:firstLineChars="200"/>
        <w:outlineLvl w:val="2"/>
        <w:rPr>
          <w:rFonts w:ascii="原版宋体" w:hAnsi="原版宋体" w:eastAsia="宋体" w:cs="Times New Roman"/>
          <w:szCs w:val="21"/>
        </w:rPr>
      </w:pPr>
      <w:r>
        <w:rPr>
          <w:rFonts w:hint="default" w:ascii="原版宋体" w:hAnsi="原版宋体" w:eastAsia="宋体" w:cs="Times New Roman"/>
          <w:bCs/>
          <w:szCs w:val="21"/>
        </w:rPr>
        <w:t>6.1.3</w:t>
      </w:r>
      <w:r>
        <w:rPr>
          <w:rFonts w:hint="default" w:ascii="原版宋体" w:hAnsi="原版宋体" w:eastAsia="宋体" w:cs="Times New Roman"/>
          <w:szCs w:val="21"/>
        </w:rPr>
        <w:t>含铁皮石斛的食品，产品标签应标识“孕妇、哺乳期妇女及婴幼儿不宜食用。”警示语。</w:t>
      </w:r>
    </w:p>
    <w:p>
      <w:pPr>
        <w:numPr>
          <w:ilvl w:val="1"/>
          <w:numId w:val="0"/>
        </w:numPr>
        <w:spacing w:before="50" w:after="50" w:line="480" w:lineRule="exact"/>
        <w:ind w:left="0" w:firstLine="420" w:firstLineChars="200"/>
        <w:outlineLvl w:val="3"/>
        <w:rPr>
          <w:rFonts w:ascii="原版宋体" w:hAnsi="原版宋体" w:eastAsia="宋体" w:cs="Times New Roman"/>
          <w:color w:val="000000"/>
          <w:szCs w:val="21"/>
        </w:rPr>
      </w:pPr>
      <w:r>
        <w:rPr>
          <w:rFonts w:hint="default" w:ascii="原版宋体" w:hAnsi="原版宋体" w:eastAsia="宋体" w:cs="Times New Roman"/>
          <w:color w:val="000000"/>
          <w:szCs w:val="21"/>
        </w:rPr>
        <w:t>6.2产品内包装应符合GB 4806.7的规定，产品外包装箱应符合GB/T 6543规定。</w:t>
      </w:r>
    </w:p>
    <w:p>
      <w:pPr>
        <w:numPr>
          <w:ilvl w:val="1"/>
          <w:numId w:val="0"/>
        </w:numPr>
        <w:spacing w:before="50" w:after="50" w:line="480" w:lineRule="exact"/>
        <w:ind w:left="0" w:firstLine="420" w:firstLineChars="200"/>
        <w:outlineLvl w:val="3"/>
        <w:rPr>
          <w:rFonts w:ascii="原版宋体" w:hAnsi="原版宋体" w:eastAsia="宋体" w:cs="Times New Roman"/>
          <w:color w:val="000000"/>
          <w:szCs w:val="21"/>
        </w:rPr>
      </w:pPr>
      <w:r>
        <w:rPr>
          <w:rFonts w:hint="default" w:ascii="原版宋体" w:hAnsi="原版宋体" w:eastAsia="宋体" w:cs="Times New Roman"/>
          <w:color w:val="000000"/>
          <w:szCs w:val="21"/>
        </w:rPr>
        <w:t>6.3运输和贮存应符合GB 31621的规定。</w:t>
      </w:r>
    </w:p>
    <w:p>
      <w:pPr>
        <w:spacing w:before="120" w:after="120" w:line="480" w:lineRule="exact"/>
        <w:jc w:val="left"/>
        <w:rPr>
          <w:rFonts w:ascii="原版宋体" w:hAnsi="原版宋体" w:eastAsia="仿宋_GB2312" w:cs="Times New Roman"/>
          <w:color w:val="000000"/>
          <w:kern w:val="0"/>
          <w:sz w:val="32"/>
          <w:szCs w:val="32"/>
          <w:u w:val="single"/>
          <w:lang w:bidi="en-US"/>
        </w:rPr>
      </w:pPr>
    </w:p>
    <w:p>
      <w:pPr>
        <w:spacing w:before="120" w:after="120" w:line="480" w:lineRule="exact"/>
        <w:jc w:val="left"/>
        <w:rPr>
          <w:rFonts w:ascii="原版宋体" w:hAnsi="原版宋体" w:eastAsia="仿宋_GB2312" w:cs="Times New Roman"/>
          <w:color w:val="000000"/>
          <w:kern w:val="0"/>
          <w:sz w:val="32"/>
          <w:szCs w:val="32"/>
          <w:u w:val="single"/>
          <w:lang w:bidi="en-US"/>
        </w:rPr>
        <w:sectPr>
          <w:headerReference r:id="rId10" w:type="default"/>
          <w:footerReference r:id="rId11" w:type="default"/>
          <w:pgSz w:w="11900" w:h="16840"/>
          <w:pgMar w:top="2098" w:right="1474" w:bottom="1984" w:left="1587" w:header="1651" w:footer="1191" w:gutter="0"/>
          <w:pgNumType w:fmt="decimal"/>
          <w:cols w:space="0" w:num="1"/>
          <w:docGrid w:type="lines" w:linePitch="579" w:charSpace="0"/>
        </w:sectPr>
      </w:pPr>
      <w:r>
        <w:rPr>
          <w:rFonts w:ascii="原版宋体" w:hAnsi="原版宋体" w:eastAsia="Times New Roman" w:cs="Times New Roman"/>
          <w:color w:val="000000"/>
          <w:kern w:val="0"/>
          <w:sz w:val="32"/>
          <w:szCs w:val="24"/>
        </w:rPr>
        <mc:AlternateContent>
          <mc:Choice Requires="wps">
            <w:drawing>
              <wp:anchor distT="0" distB="0" distL="114300" distR="114300" simplePos="0" relativeHeight="251660288" behindDoc="0" locked="0" layoutInCell="1" allowOverlap="1">
                <wp:simplePos x="0" y="0"/>
                <wp:positionH relativeFrom="column">
                  <wp:posOffset>1581150</wp:posOffset>
                </wp:positionH>
                <wp:positionV relativeFrom="paragraph">
                  <wp:posOffset>40005</wp:posOffset>
                </wp:positionV>
                <wp:extent cx="2514600" cy="10795"/>
                <wp:effectExtent l="0" t="4445" r="0" b="7620"/>
                <wp:wrapNone/>
                <wp:docPr id="19" name="直接连接符 19"/>
                <wp:cNvGraphicFramePr/>
                <a:graphic xmlns:a="http://schemas.openxmlformats.org/drawingml/2006/main">
                  <a:graphicData uri="http://schemas.microsoft.com/office/word/2010/wordprocessingShape">
                    <wps:wsp>
                      <wps:cNvCnPr/>
                      <wps:spPr>
                        <a:xfrm>
                          <a:off x="2559050" y="2058035"/>
                          <a:ext cx="2514600" cy="10795"/>
                        </a:xfrm>
                        <a:prstGeom prst="line">
                          <a:avLst/>
                        </a:prstGeom>
                        <a:noFill/>
                        <a:ln w="9525" cap="flat" cmpd="sng" algn="ctr">
                          <a:solidFill>
                            <a:sysClr val="windowText" lastClr="000000"/>
                          </a:solidFill>
                          <a:prstDash val="solid"/>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4.5pt;margin-top:3.15pt;height:0.85pt;width:198pt;z-index:251660288;mso-width-relative:page;mso-height-relative:page;" filled="f" stroked="t" coordsize="21600,21600" o:gfxdata="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A9oulv1gAAAAcBAAAPAAAAAAAAAAEA&#10;IAAAADgAAABkcnMvZG93bnJldi54bWxQSwECFAAUAAAACACHTuJAAeM7dPsBAADOAwAADgAAAAAA&#10;AAABACAAAAA7AQAAZHJzL2Uyb0RvYy54bWxQSwUGAAAAAAYABgBZAQAAqAUAAAAA&#10;">
                <v:fill on="f" focussize="0,0"/>
                <v:stroke color="#000000 [3204]" joinstyle="round"/>
                <v:imagedata o:title=""/>
                <o:lock v:ext="edit" aspectratio="f"/>
              </v:line>
            </w:pict>
          </mc:Fallback>
        </mc:AlternateContent>
      </w:r>
    </w:p>
    <w:p>
      <w:pPr>
        <w:spacing w:line="510" w:lineRule="exact"/>
        <w:jc w:val="left"/>
        <w:rPr>
          <w:rFonts w:hint="default" w:ascii="原版宋体" w:hAnsi="原版宋体" w:eastAsia="黑体" w:cs="Times New Roman"/>
          <w:color w:val="000000"/>
          <w:kern w:val="0"/>
          <w:sz w:val="32"/>
          <w:szCs w:val="32"/>
          <w:lang w:bidi="zh-TW"/>
        </w:rPr>
      </w:pPr>
      <w:r>
        <w:rPr>
          <w:rFonts w:hint="default" w:ascii="原版宋体" w:hAnsi="原版宋体" w:eastAsia="黑体" w:cs="Times New Roman"/>
          <w:color w:val="000000"/>
          <w:kern w:val="0"/>
          <w:sz w:val="32"/>
          <w:szCs w:val="32"/>
          <w:lang w:bidi="zh-TW"/>
        </w:rPr>
        <w:t>附件2</w:t>
      </w:r>
    </w:p>
    <w:tbl>
      <w:tblPr>
        <w:tblStyle w:val="9"/>
        <w:tblpPr w:leftFromText="180" w:rightFromText="180" w:vertAnchor="text" w:horzAnchor="page" w:tblpX="1145" w:tblpY="94"/>
        <w:tblOverlap w:val="never"/>
        <w:tblW w:w="9885" w:type="dxa"/>
        <w:tblInd w:w="0" w:type="dxa"/>
        <w:tblLayout w:type="fixed"/>
        <w:tblCellMar>
          <w:top w:w="0" w:type="dxa"/>
          <w:left w:w="0" w:type="dxa"/>
          <w:bottom w:w="0" w:type="dxa"/>
          <w:right w:w="0" w:type="dxa"/>
        </w:tblCellMar>
      </w:tblPr>
      <w:tblGrid>
        <w:gridCol w:w="9645"/>
        <w:gridCol w:w="240"/>
      </w:tblGrid>
      <w:tr>
        <w:trPr>
          <w:cantSplit/>
          <w:trHeight w:val="1686" w:hRule="atLeast"/>
        </w:trPr>
        <w:tc>
          <w:tcPr>
            <w:tcW w:w="9645" w:type="dxa"/>
          </w:tcPr>
          <w:p>
            <w:pPr>
              <w:ind w:right="851"/>
              <w:jc w:val="right"/>
              <w:rPr>
                <w:rFonts w:ascii="原版宋体" w:hAnsi="原版宋体" w:eastAsia="宋体" w:cs="Times New Roman"/>
                <w:bCs/>
                <w:spacing w:val="-42"/>
                <w:w w:val="110"/>
                <w:kern w:val="1"/>
                <w:sz w:val="108"/>
                <w:szCs w:val="108"/>
                <w:lang w:bidi="en-US"/>
              </w:rPr>
            </w:pPr>
            <w:r>
              <w:rPr>
                <w:rFonts w:ascii="原版宋体" w:hAnsi="原版宋体" w:eastAsia="Times New Roman" w:cs="Times New Roman"/>
                <w:bCs/>
                <w:w w:val="130"/>
                <w:kern w:val="0"/>
                <w:sz w:val="108"/>
                <w:szCs w:val="108"/>
                <w:lang w:bidi="en-US"/>
              </w:rPr>
              <w:t xml:space="preserve">  </w:t>
            </w:r>
            <w:r>
              <w:rPr>
                <w:rFonts w:ascii="原版宋体" w:hAnsi="原版宋体" w:eastAsia="Times New Roman" w:cs="Times New Roman"/>
                <w:bCs/>
                <w:w w:val="130"/>
                <w:kern w:val="0"/>
                <w:sz w:val="108"/>
                <w:szCs w:val="108"/>
                <w:lang w:eastAsia="en-US" w:bidi="en-US"/>
              </w:rPr>
              <w:t>DBS 43</w:t>
            </w:r>
          </w:p>
        </w:tc>
        <w:tc>
          <w:tcPr>
            <w:tcW w:w="240" w:type="dxa"/>
            <w:vAlign w:val="center"/>
          </w:tcPr>
          <w:p>
            <w:pPr>
              <w:jc w:val="right"/>
              <w:rPr>
                <w:rFonts w:ascii="原版宋体" w:hAnsi="原版宋体" w:eastAsia="Times New Roman" w:cs="Times New Roman"/>
                <w:bCs/>
                <w:kern w:val="1"/>
                <w:sz w:val="112"/>
                <w:szCs w:val="112"/>
                <w:lang w:eastAsia="en-US" w:bidi="en-US"/>
              </w:rPr>
            </w:pPr>
          </w:p>
        </w:tc>
      </w:tr>
      <w:tr>
        <w:trPr>
          <w:cantSplit/>
          <w:trHeight w:val="1111" w:hRule="atLeast"/>
        </w:trPr>
        <w:tc>
          <w:tcPr>
            <w:tcW w:w="9885" w:type="dxa"/>
            <w:gridSpan w:val="2"/>
            <w:vAlign w:val="center"/>
          </w:tcPr>
          <w:p>
            <w:pPr>
              <w:ind w:right="172"/>
              <w:jc w:val="distribute"/>
              <w:rPr>
                <w:rFonts w:ascii="原版宋体" w:hAnsi="原版宋体" w:eastAsia="Times New Roman" w:cs="Times New Roman"/>
                <w:bCs/>
                <w:spacing w:val="-39"/>
                <w:kern w:val="1"/>
                <w:sz w:val="52"/>
                <w:szCs w:val="52"/>
                <w:lang w:bidi="en-US"/>
              </w:rPr>
            </w:pPr>
            <w:r>
              <w:rPr>
                <w:rFonts w:hint="default" w:ascii="原版宋体" w:hAnsi="原版宋体" w:eastAsia="黑体" w:cs="Times New Roman"/>
                <w:bCs/>
                <w:spacing w:val="-40"/>
                <w:w w:val="120"/>
                <w:kern w:val="0"/>
                <w:sz w:val="52"/>
                <w:szCs w:val="52"/>
                <w:lang w:bidi="en-US"/>
              </w:rPr>
              <w:t>湖</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南</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省</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食</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品</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安</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全</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地</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方</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标</w:t>
            </w:r>
            <w:r>
              <w:rPr>
                <w:rFonts w:ascii="原版宋体" w:hAnsi="原版宋体" w:eastAsia="黑体" w:cs="Times New Roman"/>
                <w:bCs/>
                <w:spacing w:val="-40"/>
                <w:w w:val="120"/>
                <w:kern w:val="0"/>
                <w:sz w:val="52"/>
                <w:szCs w:val="52"/>
                <w:lang w:bidi="en-US"/>
              </w:rPr>
              <w:t xml:space="preserve"> </w:t>
            </w:r>
            <w:r>
              <w:rPr>
                <w:rFonts w:hint="default" w:ascii="原版宋体" w:hAnsi="原版宋体" w:eastAsia="黑体" w:cs="Times New Roman"/>
                <w:bCs/>
                <w:spacing w:val="-40"/>
                <w:w w:val="120"/>
                <w:kern w:val="0"/>
                <w:sz w:val="52"/>
                <w:szCs w:val="52"/>
                <w:lang w:bidi="en-US"/>
              </w:rPr>
              <w:t>准</w:t>
            </w:r>
          </w:p>
        </w:tc>
      </w:tr>
      <w:tr>
        <w:trPr>
          <w:cantSplit/>
          <w:trHeight w:val="913" w:hRule="atLeast"/>
        </w:trPr>
        <w:tc>
          <w:tcPr>
            <w:tcW w:w="9645" w:type="dxa"/>
          </w:tcPr>
          <w:p>
            <w:pPr>
              <w:jc w:val="right"/>
              <w:rPr>
                <w:rFonts w:ascii="原版宋体" w:hAnsi="原版宋体" w:eastAsia="黑体" w:cs="Times New Roman"/>
                <w:bCs/>
                <w:kern w:val="0"/>
                <w:sz w:val="28"/>
                <w:szCs w:val="28"/>
                <w:lang w:bidi="en-US"/>
              </w:rPr>
            </w:pPr>
            <w:r>
              <w:rPr>
                <w:rFonts w:ascii="原版宋体" w:hAnsi="原版宋体" w:eastAsia="Times New Roman" w:cs="Times New Roman"/>
                <w:kern w:val="0"/>
                <w:sz w:val="24"/>
                <w:szCs w:val="24"/>
              </w:rPr>
              <mc:AlternateContent>
                <mc:Choice Requires="wps">
                  <w:drawing>
                    <wp:anchor distT="0" distB="0" distL="114300" distR="114300" simplePos="0" relativeHeight="251662336" behindDoc="0" locked="0" layoutInCell="1" allowOverlap="1">
                      <wp:simplePos x="0" y="0"/>
                      <wp:positionH relativeFrom="column">
                        <wp:posOffset>21590</wp:posOffset>
                      </wp:positionH>
                      <wp:positionV relativeFrom="paragraph">
                        <wp:posOffset>365760</wp:posOffset>
                      </wp:positionV>
                      <wp:extent cx="6134100" cy="0"/>
                      <wp:effectExtent l="0" t="7620" r="7620" b="15240"/>
                      <wp:wrapNone/>
                      <wp:docPr id="26" name="直接连接符 26"/>
                      <wp:cNvGraphicFramePr/>
                      <a:graphic xmlns:a="http://schemas.openxmlformats.org/drawingml/2006/main">
                        <a:graphicData uri="http://schemas.microsoft.com/office/word/2010/wordprocessingShape">
                          <wps:wsp>
                            <wps:cNvCnPr>
                              <a:cxnSpLocks noChangeShapeType="1"/>
                            </wps:cNvCnPr>
                            <wps:spPr bwMode="auto">
                              <a:xfrm flipV="1">
                                <a:off x="0" y="0"/>
                                <a:ext cx="6134100" cy="0"/>
                              </a:xfrm>
                              <a:prstGeom prst="line">
                                <a:avLst/>
                              </a:prstGeom>
                              <a:noFill/>
                              <a:ln w="15875">
                                <a:solidFill>
                                  <a:srgbClr val="000000"/>
                                </a:solidFill>
                                <a:round/>
                              </a:ln>
                              <a:effectLst/>
                            </wps:spPr>
                            <wps:bodyPr/>
                          </wps:wsp>
                        </a:graphicData>
                      </a:graphic>
                    </wp:anchor>
                  </w:drawing>
                </mc:Choice>
                <mc:Fallback>
                  <w:pict>
                    <v:line id="_x0000_s1026" o:spid="_x0000_s1026" o:spt="20" style="position:absolute;left:0pt;flip:y;margin-left:1.7pt;margin-top:28.8pt;height:0pt;width:483pt;z-index:251662336;mso-width-relative:page;mso-height-relative:page;" filled="f" stroked="t" coordsize="21600,21600" o:gfxdata="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D24NhzTAAAABwEAAA8AAAAAAAAAAQAgAAAAOAAAAGRycy9k&#10;b3ducmV2LnhtbFBLAQIUABQAAAAIAIdO4kApbF9r8QEAAMUDAAAOAAAAAAAAAAEAIAAAADgBAABk&#10;cnMvZTJvRG9jLnhtbFBLBQYAAAAABgAGAFkBAACbBQAAAAA=&#10;">
                      <v:fill on="f" focussize="0,0"/>
                      <v:stroke weight="1.25pt" color="#000000" joinstyle="round"/>
                      <v:imagedata o:title=""/>
                      <o:lock v:ext="edit" aspectratio="f"/>
                    </v:line>
                  </w:pict>
                </mc:Fallback>
              </mc:AlternateContent>
            </w:r>
            <w:r>
              <w:rPr>
                <w:rFonts w:ascii="原版宋体" w:hAnsi="原版宋体" w:eastAsia="Times New Roman" w:cs="Times New Roman"/>
                <w:bCs/>
                <w:kern w:val="0"/>
                <w:sz w:val="28"/>
                <w:szCs w:val="28"/>
                <w:lang w:eastAsia="en-US" w:bidi="en-US"/>
              </w:rPr>
              <w:t>DBS43/</w:t>
            </w:r>
            <w:r>
              <w:rPr>
                <w:rFonts w:hint="default" w:ascii="原版宋体" w:hAnsi="原版宋体" w:eastAsia="宋体" w:cs="Times New Roman"/>
                <w:bCs/>
                <w:kern w:val="0"/>
                <w:sz w:val="28"/>
                <w:szCs w:val="28"/>
                <w:lang w:bidi="en-US"/>
              </w:rPr>
              <w:t>014</w:t>
            </w:r>
            <w:r>
              <w:rPr>
                <w:rFonts w:ascii="原版宋体" w:hAnsi="原版宋体" w:eastAsia="Times New Roman" w:cs="Times New Roman"/>
                <w:bCs/>
                <w:kern w:val="0"/>
                <w:sz w:val="28"/>
                <w:szCs w:val="28"/>
                <w:lang w:eastAsia="en-US" w:bidi="en-US"/>
              </w:rPr>
              <w:t>—</w:t>
            </w:r>
            <w:r>
              <w:rPr>
                <w:rFonts w:ascii="原版宋体" w:hAnsi="原版宋体" w:eastAsia="Times New Roman" w:cs="Times New Roman"/>
                <w:bCs/>
                <w:kern w:val="0"/>
                <w:sz w:val="28"/>
                <w:szCs w:val="28"/>
                <w:lang w:bidi="en-US"/>
              </w:rPr>
              <w:t>202</w:t>
            </w:r>
            <w:r>
              <w:rPr>
                <w:rFonts w:hint="default" w:ascii="原版宋体" w:hAnsi="原版宋体" w:eastAsia="Times New Roman" w:cs="Times New Roman"/>
                <w:bCs/>
                <w:kern w:val="0"/>
                <w:sz w:val="28"/>
                <w:szCs w:val="28"/>
                <w:lang w:bidi="en-US"/>
              </w:rPr>
              <w:t>2</w:t>
            </w:r>
          </w:p>
        </w:tc>
        <w:tc>
          <w:tcPr>
            <w:tcW w:w="240" w:type="dxa"/>
          </w:tcPr>
          <w:p>
            <w:pPr>
              <w:numPr>
                <w:ilvl w:val="2"/>
                <w:numId w:val="0"/>
              </w:numPr>
              <w:tabs>
                <w:tab w:val="left" w:pos="5792"/>
              </w:tabs>
              <w:spacing w:before="289" w:beforeLines="50" w:after="289" w:afterLines="50"/>
              <w:ind w:left="420"/>
              <w:jc w:val="left"/>
              <w:rPr>
                <w:rFonts w:ascii="原版宋体" w:hAnsi="原版宋体" w:eastAsia="黑体" w:cs="Times New Roman"/>
                <w:bCs/>
                <w:kern w:val="0"/>
                <w:sz w:val="28"/>
                <w:szCs w:val="28"/>
              </w:rPr>
            </w:pPr>
          </w:p>
        </w:tc>
      </w:tr>
      <w:tr>
        <w:trPr>
          <w:cantSplit/>
          <w:trHeight w:val="80" w:hRule="atLeast"/>
        </w:trPr>
        <w:tc>
          <w:tcPr>
            <w:tcW w:w="9885" w:type="dxa"/>
            <w:gridSpan w:val="2"/>
          </w:tcPr>
          <w:p>
            <w:pPr>
              <w:jc w:val="left"/>
              <w:rPr>
                <w:rFonts w:ascii="原版宋体" w:hAnsi="原版宋体" w:eastAsia="Times New Roman" w:cs="Times New Roman"/>
                <w:bCs/>
                <w:kern w:val="1"/>
                <w:sz w:val="20"/>
                <w:szCs w:val="24"/>
                <w:lang w:eastAsia="en-US" w:bidi="en-US"/>
              </w:rPr>
            </w:pPr>
          </w:p>
        </w:tc>
      </w:tr>
      <w:tr>
        <w:trPr>
          <w:cantSplit/>
          <w:trHeight w:val="2182" w:hRule="atLeast"/>
        </w:trPr>
        <w:tc>
          <w:tcPr>
            <w:tcW w:w="9885" w:type="dxa"/>
            <w:gridSpan w:val="2"/>
          </w:tcPr>
          <w:p>
            <w:pPr>
              <w:jc w:val="left"/>
              <w:rPr>
                <w:rFonts w:ascii="原版宋体" w:hAnsi="原版宋体" w:eastAsia="Times New Roman" w:cs="Times New Roman"/>
                <w:bCs/>
                <w:kern w:val="0"/>
                <w:sz w:val="20"/>
                <w:szCs w:val="20"/>
                <w:lang w:bidi="en-US"/>
              </w:rPr>
            </w:pPr>
          </w:p>
          <w:p>
            <w:pPr>
              <w:jc w:val="center"/>
              <w:rPr>
                <w:rFonts w:ascii="原版宋体" w:hAnsi="原版宋体" w:eastAsia="黑体" w:cs="Times New Roman"/>
                <w:kern w:val="0"/>
                <w:sz w:val="52"/>
                <w:szCs w:val="24"/>
                <w:lang w:bidi="en-US"/>
              </w:rPr>
            </w:pPr>
            <w:r>
              <w:rPr>
                <w:rFonts w:hint="default" w:ascii="原版宋体" w:hAnsi="原版宋体" w:eastAsia="黑体" w:cs="Times New Roman"/>
                <w:kern w:val="0"/>
                <w:sz w:val="52"/>
                <w:szCs w:val="24"/>
                <w:lang w:bidi="en-US"/>
              </w:rPr>
              <w:t>食品安全地方标准</w:t>
            </w:r>
          </w:p>
          <w:p>
            <w:pPr>
              <w:spacing w:before="370" w:line="400" w:lineRule="exact"/>
              <w:jc w:val="center"/>
              <w:rPr>
                <w:rFonts w:ascii="原版宋体" w:hAnsi="原版宋体" w:eastAsia="黑体" w:cs="Times New Roman"/>
                <w:kern w:val="0"/>
                <w:sz w:val="52"/>
                <w:szCs w:val="52"/>
              </w:rPr>
            </w:pPr>
            <w:r>
              <w:rPr>
                <w:rFonts w:hint="default" w:ascii="原版宋体" w:hAnsi="原版宋体" w:eastAsia="黑体" w:cs="Times New Roman"/>
                <w:kern w:val="0"/>
                <w:sz w:val="52"/>
                <w:szCs w:val="52"/>
              </w:rPr>
              <w:t>茯苓</w:t>
            </w:r>
          </w:p>
          <w:p>
            <w:pPr>
              <w:pStyle w:val="24"/>
              <w:spacing w:line="240" w:lineRule="auto"/>
              <w:rPr>
                <w:rFonts w:ascii="原版宋体" w:hAnsi="原版宋体" w:eastAsia="宋体" w:cs="Times New Roman"/>
                <w:bCs/>
                <w:color w:val="auto"/>
                <w:kern w:val="1"/>
                <w:sz w:val="32"/>
                <w:szCs w:val="32"/>
              </w:rPr>
            </w:pPr>
          </w:p>
          <w:p>
            <w:pPr>
              <w:pStyle w:val="24"/>
              <w:spacing w:line="240" w:lineRule="auto"/>
              <w:rPr>
                <w:rFonts w:ascii="原版宋体" w:hAnsi="原版宋体" w:eastAsia="宋体" w:cs="Times New Roman"/>
                <w:bCs/>
                <w:color w:val="auto"/>
                <w:kern w:val="1"/>
                <w:sz w:val="32"/>
                <w:szCs w:val="32"/>
              </w:rPr>
            </w:pPr>
          </w:p>
          <w:p>
            <w:pPr>
              <w:pStyle w:val="24"/>
              <w:spacing w:line="240" w:lineRule="auto"/>
              <w:rPr>
                <w:rFonts w:ascii="原版宋体" w:hAnsi="原版宋体" w:eastAsia="宋体" w:cs="Times New Roman"/>
                <w:bCs/>
                <w:color w:val="auto"/>
                <w:kern w:val="1"/>
                <w:sz w:val="32"/>
                <w:szCs w:val="32"/>
              </w:rPr>
            </w:pPr>
          </w:p>
          <w:p>
            <w:pPr>
              <w:pStyle w:val="24"/>
              <w:spacing w:line="240" w:lineRule="auto"/>
              <w:jc w:val="both"/>
              <w:rPr>
                <w:rFonts w:ascii="原版宋体" w:hAnsi="原版宋体" w:eastAsia="宋体" w:cs="Times New Roman"/>
                <w:bCs/>
                <w:color w:val="auto"/>
                <w:kern w:val="1"/>
                <w:sz w:val="32"/>
                <w:szCs w:val="32"/>
              </w:rPr>
            </w:pPr>
          </w:p>
        </w:tc>
      </w:tr>
      <w:tr>
        <w:trPr>
          <w:cantSplit/>
          <w:trHeight w:val="1390" w:hRule="atLeast"/>
        </w:trPr>
        <w:tc>
          <w:tcPr>
            <w:tcW w:w="9885" w:type="dxa"/>
            <w:gridSpan w:val="2"/>
            <w:vAlign w:val="center"/>
          </w:tcPr>
          <w:tbl>
            <w:tblPr>
              <w:tblStyle w:val="9"/>
              <w:tblpPr w:leftFromText="180" w:rightFromText="180" w:vertAnchor="text" w:horzAnchor="page" w:tblpX="38" w:tblpY="622"/>
              <w:tblOverlap w:val="never"/>
              <w:tblW w:w="9647" w:type="dxa"/>
              <w:tblInd w:w="0" w:type="dxa"/>
              <w:tblLayout w:type="fixed"/>
              <w:tblCellMar>
                <w:top w:w="0" w:type="dxa"/>
                <w:left w:w="108" w:type="dxa"/>
                <w:bottom w:w="0" w:type="dxa"/>
                <w:right w:w="108" w:type="dxa"/>
              </w:tblCellMar>
            </w:tblPr>
            <w:tblGrid>
              <w:gridCol w:w="4607"/>
              <w:gridCol w:w="5040"/>
            </w:tblGrid>
            <w:tr>
              <w:trPr>
                <w:trHeight w:val="823" w:hRule="atLeast"/>
              </w:trPr>
              <w:tc>
                <w:tcPr>
                  <w:tcW w:w="4607" w:type="dxa"/>
                  <w:tcBorders>
                    <w:bottom w:val="single" w:color="000000" w:sz="12" w:space="0"/>
                  </w:tcBorders>
                  <w:shd w:val="clear" w:color="auto" w:fill="FFFFFF"/>
                  <w:vAlign w:val="bottom"/>
                </w:tcPr>
                <w:p>
                  <w:pPr>
                    <w:ind w:left="279" w:leftChars="133" w:firstLine="201" w:firstLineChars="72"/>
                    <w:jc w:val="left"/>
                    <w:rPr>
                      <w:rFonts w:ascii="原版宋体" w:hAnsi="原版宋体" w:eastAsia="黑体" w:cs="Times New Roman"/>
                      <w:kern w:val="1"/>
                      <w:sz w:val="28"/>
                      <w:szCs w:val="24"/>
                      <w:lang w:eastAsia="en-US" w:bidi="en-US"/>
                    </w:rPr>
                  </w:pPr>
                  <w:r>
                    <w:rPr>
                      <w:rFonts w:ascii="原版宋体" w:hAnsi="原版宋体" w:eastAsia="Times New Roman" w:cs="Times New Roman"/>
                      <w:kern w:val="1"/>
                      <w:sz w:val="28"/>
                      <w:szCs w:val="24"/>
                      <w:lang w:eastAsia="en-US" w:bidi="en-US"/>
                    </w:rPr>
                    <w:t>202</w:t>
                  </w:r>
                  <w:r>
                    <w:rPr>
                      <w:rFonts w:ascii="原版宋体" w:hAnsi="原版宋体" w:eastAsia="宋体" w:cs="Times New Roman"/>
                      <w:kern w:val="1"/>
                      <w:sz w:val="28"/>
                      <w:szCs w:val="24"/>
                      <w:lang w:bidi="en-US"/>
                    </w:rPr>
                    <w:t>2</w:t>
                  </w:r>
                  <w:r>
                    <w:rPr>
                      <w:rFonts w:ascii="原版宋体" w:hAnsi="原版宋体" w:eastAsia="Times New Roman" w:cs="Times New Roman"/>
                      <w:kern w:val="1"/>
                      <w:sz w:val="28"/>
                      <w:szCs w:val="24"/>
                      <w:lang w:eastAsia="en-US" w:bidi="en-US"/>
                    </w:rPr>
                    <w:t>-</w:t>
                  </w:r>
                  <w:r>
                    <w:rPr>
                      <w:rFonts w:hint="default" w:ascii="原版宋体" w:hAnsi="原版宋体" w:eastAsia="Times New Roman" w:cs="Times New Roman"/>
                      <w:kern w:val="1"/>
                      <w:sz w:val="28"/>
                      <w:szCs w:val="24"/>
                      <w:lang w:val="en" w:eastAsia="en-US" w:bidi="en-US"/>
                    </w:rPr>
                    <w:t>12</w:t>
                  </w:r>
                  <w:r>
                    <w:rPr>
                      <w:rFonts w:ascii="原版宋体" w:hAnsi="原版宋体" w:eastAsia="Times New Roman" w:cs="Times New Roman"/>
                      <w:kern w:val="1"/>
                      <w:sz w:val="28"/>
                      <w:szCs w:val="24"/>
                      <w:lang w:eastAsia="en-US" w:bidi="en-US"/>
                    </w:rPr>
                    <w:t>-</w:t>
                  </w:r>
                  <w:r>
                    <w:rPr>
                      <w:rFonts w:hint="default" w:ascii="原版宋体" w:hAnsi="原版宋体" w:eastAsia="Times New Roman" w:cs="Times New Roman"/>
                      <w:kern w:val="1"/>
                      <w:sz w:val="28"/>
                      <w:szCs w:val="24"/>
                      <w:lang w:val="en" w:eastAsia="en-US" w:bidi="en-US"/>
                    </w:rPr>
                    <w:t>09</w:t>
                  </w:r>
                  <w:r>
                    <w:rPr>
                      <w:rFonts w:hint="default" w:ascii="原版宋体" w:hAnsi="原版宋体" w:eastAsia="宋体" w:cs="Times New Roman"/>
                      <w:kern w:val="1"/>
                      <w:sz w:val="28"/>
                      <w:szCs w:val="24"/>
                      <w:lang w:eastAsia="en-US" w:bidi="en-US"/>
                    </w:rPr>
                    <w:t>发布</w:t>
                  </w:r>
                  <w:r>
                    <w:rPr>
                      <w:rFonts w:ascii="原版宋体" w:hAnsi="原版宋体" w:eastAsia="黑体" w:cs="Times New Roman"/>
                      <w:kern w:val="1"/>
                      <w:sz w:val="28"/>
                      <w:szCs w:val="24"/>
                      <w:lang w:eastAsia="en-US" w:bidi="en-US"/>
                    </w:rPr>
                    <w:t xml:space="preserve">    </w:t>
                  </w:r>
                </w:p>
              </w:tc>
              <w:tc>
                <w:tcPr>
                  <w:tcW w:w="5040" w:type="dxa"/>
                  <w:tcBorders>
                    <w:bottom w:val="single" w:color="000000" w:sz="12" w:space="0"/>
                  </w:tcBorders>
                  <w:vAlign w:val="bottom"/>
                </w:tcPr>
                <w:p>
                  <w:pPr>
                    <w:jc w:val="center"/>
                    <w:rPr>
                      <w:rFonts w:ascii="原版宋体" w:hAnsi="原版宋体" w:eastAsia="黑体" w:cs="Times New Roman"/>
                      <w:kern w:val="1"/>
                      <w:sz w:val="28"/>
                      <w:szCs w:val="24"/>
                      <w:lang w:eastAsia="en-US" w:bidi="en-US"/>
                    </w:rPr>
                  </w:pPr>
                  <w:r>
                    <w:rPr>
                      <w:rFonts w:ascii="原版宋体" w:hAnsi="原版宋体" w:eastAsia="黑体" w:cs="Times New Roman"/>
                      <w:kern w:val="1"/>
                      <w:sz w:val="28"/>
                      <w:szCs w:val="24"/>
                      <w:lang w:eastAsia="en-US" w:bidi="en-US"/>
                    </w:rPr>
                    <w:t xml:space="preserve">         </w:t>
                  </w:r>
                  <w:r>
                    <w:rPr>
                      <w:rFonts w:ascii="原版宋体" w:hAnsi="原版宋体" w:eastAsia="Times New Roman" w:cs="Times New Roman"/>
                      <w:kern w:val="1"/>
                      <w:sz w:val="28"/>
                      <w:szCs w:val="24"/>
                      <w:lang w:eastAsia="en-US" w:bidi="en-US"/>
                    </w:rPr>
                    <w:t xml:space="preserve"> 202</w:t>
                  </w:r>
                  <w:r>
                    <w:rPr>
                      <w:rFonts w:hint="default" w:ascii="原版宋体" w:hAnsi="原版宋体" w:cs="Times New Roman"/>
                      <w:kern w:val="1"/>
                      <w:sz w:val="28"/>
                      <w:szCs w:val="24"/>
                      <w:lang w:bidi="en-US"/>
                    </w:rPr>
                    <w:t>3</w:t>
                  </w:r>
                  <w:r>
                    <w:rPr>
                      <w:rFonts w:ascii="原版宋体" w:hAnsi="原版宋体" w:eastAsia="Times New Roman" w:cs="Times New Roman"/>
                      <w:kern w:val="1"/>
                      <w:sz w:val="28"/>
                      <w:szCs w:val="24"/>
                      <w:lang w:eastAsia="en-US" w:bidi="en-US"/>
                    </w:rPr>
                    <w:t>-</w:t>
                  </w:r>
                  <w:r>
                    <w:rPr>
                      <w:rFonts w:hint="default" w:ascii="原版宋体" w:hAnsi="原版宋体" w:eastAsia="Times New Roman" w:cs="Times New Roman"/>
                      <w:kern w:val="1"/>
                      <w:sz w:val="28"/>
                      <w:szCs w:val="24"/>
                      <w:lang w:val="en" w:eastAsia="en-US" w:bidi="en-US"/>
                    </w:rPr>
                    <w:t>06</w:t>
                  </w:r>
                  <w:r>
                    <w:rPr>
                      <w:rFonts w:ascii="原版宋体" w:hAnsi="原版宋体" w:eastAsia="Times New Roman" w:cs="Times New Roman"/>
                      <w:kern w:val="1"/>
                      <w:sz w:val="28"/>
                      <w:szCs w:val="24"/>
                      <w:lang w:eastAsia="en-US" w:bidi="en-US"/>
                    </w:rPr>
                    <w:t>-</w:t>
                  </w:r>
                  <w:r>
                    <w:rPr>
                      <w:rFonts w:hint="default" w:ascii="原版宋体" w:hAnsi="原版宋体" w:eastAsia="宋体" w:cs="Times New Roman"/>
                      <w:kern w:val="1"/>
                      <w:sz w:val="28"/>
                      <w:szCs w:val="24"/>
                      <w:lang w:val="en" w:bidi="en-US"/>
                    </w:rPr>
                    <w:t>09</w:t>
                  </w:r>
                  <w:r>
                    <w:rPr>
                      <w:rFonts w:hint="default" w:ascii="原版宋体" w:hAnsi="原版宋体" w:eastAsia="宋体" w:cs="Times New Roman"/>
                      <w:kern w:val="1"/>
                      <w:sz w:val="28"/>
                      <w:szCs w:val="24"/>
                      <w:lang w:eastAsia="en-US" w:bidi="en-US"/>
                    </w:rPr>
                    <w:t>实施</w:t>
                  </w:r>
                </w:p>
              </w:tc>
            </w:tr>
            <w:tr>
              <w:trPr>
                <w:cantSplit/>
                <w:trHeight w:val="1102" w:hRule="atLeast"/>
              </w:trPr>
              <w:tc>
                <w:tcPr>
                  <w:tcW w:w="9647" w:type="dxa"/>
                  <w:gridSpan w:val="2"/>
                  <w:vAlign w:val="center"/>
                </w:tcPr>
                <w:p>
                  <w:pPr>
                    <w:jc w:val="center"/>
                    <w:rPr>
                      <w:rFonts w:ascii="原版宋体" w:hAnsi="原版宋体" w:eastAsia="黑体" w:cs="Times New Roman"/>
                      <w:kern w:val="0"/>
                      <w:sz w:val="28"/>
                      <w:szCs w:val="28"/>
                      <w:lang w:bidi="en-US"/>
                    </w:rPr>
                  </w:pPr>
                  <w:r>
                    <w:rPr>
                      <w:rFonts w:hint="default" w:ascii="原版宋体" w:hAnsi="原版宋体" w:eastAsia="黑体" w:cs="Times New Roman"/>
                      <w:spacing w:val="12"/>
                      <w:kern w:val="0"/>
                      <w:sz w:val="28"/>
                      <w:szCs w:val="28"/>
                      <w:lang w:bidi="en-US"/>
                    </w:rPr>
                    <w:t>湖南省卫生健康委员会</w:t>
                  </w:r>
                  <w:r>
                    <w:rPr>
                      <w:rFonts w:hint="default" w:ascii="原版宋体" w:hAnsi="原版宋体" w:eastAsia="黑体" w:cs="Times New Roman"/>
                      <w:kern w:val="0"/>
                      <w:sz w:val="28"/>
                      <w:szCs w:val="28"/>
                      <w:lang w:bidi="en-US"/>
                    </w:rPr>
                    <w:t xml:space="preserve">  发布</w:t>
                  </w:r>
                </w:p>
                <w:p>
                  <w:pPr>
                    <w:jc w:val="left"/>
                    <w:rPr>
                      <w:rFonts w:ascii="原版宋体" w:hAnsi="原版宋体" w:cs="Times New Roman"/>
                      <w:color w:val="000000"/>
                      <w:kern w:val="0"/>
                      <w:sz w:val="24"/>
                      <w:szCs w:val="24"/>
                      <w:lang w:bidi="en-US"/>
                    </w:rPr>
                  </w:pPr>
                </w:p>
              </w:tc>
            </w:tr>
          </w:tbl>
          <w:p>
            <w:pPr>
              <w:jc w:val="left"/>
              <w:rPr>
                <w:rFonts w:ascii="原版宋体" w:hAnsi="原版宋体" w:eastAsia="Times New Roman" w:cs="Times New Roman"/>
                <w:color w:val="000000"/>
                <w:kern w:val="0"/>
                <w:sz w:val="24"/>
                <w:szCs w:val="24"/>
                <w:lang w:bidi="en-US"/>
              </w:rPr>
            </w:pPr>
          </w:p>
        </w:tc>
      </w:tr>
    </w:tbl>
    <w:p>
      <w:pPr>
        <w:keepNext/>
        <w:shd w:val="clear" w:color="FFFFFF" w:fill="FFFFFF"/>
        <w:spacing w:before="640" w:after="560"/>
        <w:jc w:val="center"/>
        <w:outlineLvl w:val="0"/>
        <w:rPr>
          <w:rFonts w:ascii="原版宋体" w:hAnsi="原版宋体" w:eastAsia="方正小标宋简体" w:cs="Times New Roman"/>
          <w:bCs/>
          <w:kern w:val="0"/>
          <w:sz w:val="28"/>
          <w:szCs w:val="28"/>
        </w:rPr>
        <w:sectPr>
          <w:headerReference r:id="rId12" w:type="default"/>
          <w:footerReference r:id="rId13" w:type="default"/>
          <w:pgSz w:w="11900" w:h="16840"/>
          <w:pgMar w:top="2098" w:right="1474" w:bottom="1984" w:left="1587" w:header="1651" w:footer="1191" w:gutter="0"/>
          <w:pgNumType w:fmt="decimal"/>
          <w:cols w:space="0" w:num="1"/>
          <w:docGrid w:type="lines" w:linePitch="579" w:charSpace="0"/>
        </w:sectPr>
      </w:pPr>
    </w:p>
    <w:p>
      <w:pPr>
        <w:keepNext/>
        <w:shd w:val="clear" w:color="FFFFFF" w:fill="FFFFFF"/>
        <w:spacing w:before="640" w:after="560"/>
        <w:jc w:val="center"/>
        <w:outlineLvl w:val="0"/>
        <w:rPr>
          <w:rFonts w:ascii="原版宋体" w:hAnsi="原版宋体" w:eastAsia="华文楷体" w:cs="Times New Roman"/>
          <w:bCs/>
          <w:kern w:val="0"/>
          <w:sz w:val="28"/>
          <w:szCs w:val="28"/>
        </w:rPr>
      </w:pPr>
      <w:r>
        <w:rPr>
          <w:rFonts w:hint="default" w:ascii="原版宋体" w:hAnsi="原版宋体" w:eastAsia="方正小标宋简体" w:cs="Times New Roman"/>
          <w:bCs/>
          <w:kern w:val="0"/>
          <w:sz w:val="28"/>
          <w:szCs w:val="28"/>
        </w:rPr>
        <w:t>前言</w:t>
      </w:r>
    </w:p>
    <w:p>
      <w:pPr>
        <w:tabs>
          <w:tab w:val="center" w:pos="4201"/>
          <w:tab w:val="right" w:leader="dot" w:pos="9298"/>
        </w:tabs>
        <w:autoSpaceDE w:val="0"/>
        <w:autoSpaceDN w:val="0"/>
        <w:ind w:firstLine="480" w:firstLineChars="200"/>
        <w:rPr>
          <w:rFonts w:ascii="原版宋体" w:hAnsi="原版宋体" w:eastAsia="宋体" w:cs="Times New Roman"/>
          <w:color w:val="000000"/>
          <w:kern w:val="0"/>
          <w:szCs w:val="24"/>
        </w:rPr>
      </w:pPr>
      <w:r>
        <w:rPr>
          <w:rFonts w:hint="default" w:ascii="原版宋体" w:hAnsi="原版宋体" w:cs="Times New Roman"/>
          <w:bCs/>
          <w:color w:val="000000"/>
          <w:kern w:val="1"/>
          <w:sz w:val="24"/>
          <w:szCs w:val="21"/>
          <w:lang w:bidi="en-US"/>
        </w:rPr>
        <w:t>本文件为首次发布。</w:t>
      </w:r>
    </w:p>
    <w:p>
      <w:pPr>
        <w:ind w:firstLine="480" w:firstLineChars="200"/>
        <w:jc w:val="left"/>
        <w:rPr>
          <w:rFonts w:ascii="原版宋体" w:hAnsi="原版宋体" w:eastAsia="宋体" w:cs="Times New Roman"/>
          <w:color w:val="FF0000"/>
          <w:kern w:val="0"/>
          <w:sz w:val="24"/>
          <w:szCs w:val="21"/>
          <w:lang w:bidi="en-US"/>
        </w:rPr>
      </w:pPr>
    </w:p>
    <w:p>
      <w:pPr>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ind w:firstLine="480" w:firstLineChars="200"/>
        <w:jc w:val="left"/>
        <w:rPr>
          <w:rFonts w:ascii="原版宋体" w:hAnsi="原版宋体" w:eastAsia="Times New Roman" w:cs="Times New Roman"/>
          <w:color w:val="FF0000"/>
          <w:kern w:val="0"/>
          <w:sz w:val="24"/>
          <w:szCs w:val="21"/>
          <w:lang w:bidi="en-US"/>
        </w:rPr>
      </w:pPr>
    </w:p>
    <w:p>
      <w:pPr>
        <w:rPr>
          <w:rFonts w:ascii="原版宋体" w:hAnsi="原版宋体" w:cs="Times New Roman"/>
        </w:rPr>
        <w:sectPr>
          <w:headerReference r:id="rId14" w:type="default"/>
          <w:footerReference r:id="rId15" w:type="default"/>
          <w:pgSz w:w="11900" w:h="16840"/>
          <w:pgMar w:top="2098" w:right="1474" w:bottom="1984" w:left="1587" w:header="1651" w:footer="1191" w:gutter="0"/>
          <w:pgNumType w:fmt="decimal" w:start="1"/>
          <w:cols w:space="0" w:num="1"/>
          <w:docGrid w:type="lines" w:linePitch="579" w:charSpace="0"/>
        </w:sectPr>
      </w:pPr>
    </w:p>
    <w:p>
      <w:pPr>
        <w:jc w:val="left"/>
        <w:rPr>
          <w:rFonts w:ascii="原版宋体" w:hAnsi="原版宋体" w:eastAsia="方正小标宋_GBK" w:cs="Times New Roman"/>
          <w:kern w:val="0"/>
          <w:sz w:val="32"/>
          <w:szCs w:val="32"/>
          <w:lang w:bidi="en-US"/>
        </w:rPr>
      </w:pPr>
    </w:p>
    <w:p>
      <w:pPr>
        <w:spacing w:line="360" w:lineRule="auto"/>
        <w:jc w:val="center"/>
        <w:rPr>
          <w:rFonts w:ascii="原版宋体" w:hAnsi="原版宋体" w:eastAsia="方正小标宋_GBK" w:cs="Times New Roman"/>
          <w:kern w:val="0"/>
          <w:sz w:val="32"/>
          <w:szCs w:val="32"/>
          <w:lang w:bidi="en-US"/>
        </w:rPr>
      </w:pPr>
      <w:r>
        <w:rPr>
          <w:rFonts w:hint="default" w:ascii="原版宋体" w:hAnsi="原版宋体" w:eastAsia="方正小标宋_GBK" w:cs="Times New Roman"/>
          <w:kern w:val="0"/>
          <w:sz w:val="32"/>
          <w:szCs w:val="32"/>
          <w:lang w:bidi="en-US"/>
        </w:rPr>
        <w:t>食品安全地方标准</w:t>
      </w:r>
      <w:r>
        <w:rPr>
          <w:rFonts w:ascii="原版宋体" w:hAnsi="原版宋体" w:eastAsia="方正小标宋_GBK" w:cs="Times New Roman"/>
          <w:kern w:val="0"/>
          <w:sz w:val="32"/>
          <w:szCs w:val="32"/>
          <w:lang w:bidi="en-US"/>
        </w:rPr>
        <w:t xml:space="preserve"> </w:t>
      </w:r>
      <w:r>
        <w:rPr>
          <w:rFonts w:hint="default" w:ascii="原版宋体" w:hAnsi="原版宋体" w:eastAsia="方正小标宋_GBK" w:cs="Times New Roman"/>
          <w:kern w:val="0"/>
          <w:sz w:val="32"/>
          <w:szCs w:val="32"/>
          <w:lang w:bidi="en-US"/>
        </w:rPr>
        <w:t>茯苓</w:t>
      </w:r>
    </w:p>
    <w:p>
      <w:pPr>
        <w:spacing w:before="50" w:after="50" w:line="44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1.范围</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本文件规定了茯苓的术语和定义、技术要求、标签、包装、运输和贮存。</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本文件适用于湖南地区生产的茯苓。</w:t>
      </w:r>
    </w:p>
    <w:p>
      <w:pPr>
        <w:spacing w:before="50" w:after="50" w:line="44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2.规范性引用文件</w:t>
      </w:r>
    </w:p>
    <w:p>
      <w:pPr>
        <w:tabs>
          <w:tab w:val="center" w:pos="4201"/>
          <w:tab w:val="right" w:leader="dot" w:pos="9298"/>
        </w:tabs>
        <w:spacing w:line="440" w:lineRule="exact"/>
        <w:ind w:left="420" w:leftChars="200" w:firstLine="0" w:firstLineChars="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下列文件中的内容通过文中的规范性引用而构成本文件必不可少的条款。其中，注日期的引用文件，仅该日期对应的版本适用于本文件；不注日期的引用文件，其最新版本（包括所有的修改单）适用于本文件。</w:t>
      </w:r>
    </w:p>
    <w:tbl>
      <w:tblPr>
        <w:tblStyle w:val="9"/>
        <w:tblpPr w:leftFromText="180" w:rightFromText="180" w:vertAnchor="text" w:horzAnchor="margin" w:tblpXSpec="center" w:tblpY="111"/>
        <w:tblW w:w="0" w:type="auto"/>
        <w:tblInd w:w="0" w:type="dxa"/>
        <w:tblLayout w:type="autofit"/>
        <w:tblCellMar>
          <w:top w:w="0" w:type="dxa"/>
          <w:left w:w="108" w:type="dxa"/>
          <w:bottom w:w="0" w:type="dxa"/>
          <w:right w:w="108" w:type="dxa"/>
        </w:tblCellMar>
      </w:tblPr>
      <w:tblGrid>
        <w:gridCol w:w="1668"/>
        <w:gridCol w:w="6854"/>
      </w:tblGrid>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2762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食品中污染物限量</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2763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食品中农药最大残留限量</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4806.7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333333"/>
                <w:kern w:val="0"/>
                <w:szCs w:val="21"/>
                <w:shd w:val="clear" w:color="auto" w:fill="FFFFFF"/>
              </w:rPr>
              <w:t>食品安全国家标准 食品接触用塑料材料及制品</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5009.3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食品中水分的测定</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5009.4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食品中灰分的测定</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5749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生活饮用水卫生标准</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GB/T 6543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运输包装用单瓦楞纸箱和双瓦楞纸箱</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7718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食品安全国家标准 预包装食品标签通则</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14881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333333"/>
                <w:kern w:val="0"/>
                <w:szCs w:val="21"/>
                <w:shd w:val="clear" w:color="auto" w:fill="FFFFFF"/>
              </w:rPr>
              <w:t>食品安全国家标准 食品生产通用卫生规范</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GB 31621     </w:t>
            </w:r>
          </w:p>
        </w:tc>
        <w:tc>
          <w:tcPr>
            <w:tcW w:w="6854" w:type="dxa"/>
          </w:tcPr>
          <w:p>
            <w:pPr>
              <w:spacing w:line="440" w:lineRule="exact"/>
              <w:rPr>
                <w:rFonts w:ascii="原版宋体" w:hAnsi="原版宋体" w:eastAsia="宋体" w:cs="Times New Roman"/>
                <w:color w:val="333333"/>
                <w:kern w:val="0"/>
                <w:szCs w:val="21"/>
                <w:shd w:val="clear" w:color="auto" w:fill="FFFFFF"/>
              </w:rPr>
            </w:pPr>
            <w:r>
              <w:rPr>
                <w:rFonts w:hint="default" w:ascii="原版宋体" w:hAnsi="原版宋体" w:eastAsia="宋体" w:cs="Times New Roman"/>
                <w:color w:val="333333"/>
                <w:kern w:val="0"/>
                <w:szCs w:val="21"/>
                <w:shd w:val="clear" w:color="auto" w:fill="FFFFFF"/>
              </w:rPr>
              <w:t>食品安全国家标准 食品经营过程卫生规范</w:t>
            </w:r>
          </w:p>
        </w:tc>
      </w:tr>
      <w:tr>
        <w:trPr>
          <w:trHeight w:val="510" w:hRule="atLeast"/>
        </w:trPr>
        <w:tc>
          <w:tcPr>
            <w:tcW w:w="1668"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 xml:space="preserve">JJF 1070      </w:t>
            </w:r>
          </w:p>
        </w:tc>
        <w:tc>
          <w:tcPr>
            <w:tcW w:w="6854" w:type="dxa"/>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定量包装商品净含量计量检验规则</w:t>
            </w:r>
          </w:p>
        </w:tc>
      </w:tr>
      <w:tr>
        <w:trPr>
          <w:trHeight w:val="510" w:hRule="atLeast"/>
        </w:trPr>
        <w:tc>
          <w:tcPr>
            <w:tcW w:w="8522" w:type="dxa"/>
            <w:gridSpan w:val="2"/>
          </w:tcPr>
          <w:p>
            <w:pPr>
              <w:spacing w:line="440" w:lineRule="exac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原国家质量监督检验检疫总局第75号（2005）令 《定量包装商品计量监督管理办法》</w:t>
            </w:r>
          </w:p>
        </w:tc>
      </w:tr>
    </w:tbl>
    <w:p>
      <w:pPr>
        <w:spacing w:before="50" w:after="50" w:line="44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3.术语和定义</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下列术语和定义适用于本文件。</w:t>
      </w:r>
    </w:p>
    <w:p>
      <w:pPr>
        <w:spacing w:before="50" w:after="50" w:line="440" w:lineRule="exact"/>
        <w:ind w:left="420" w:leftChars="200" w:firstLine="0" w:firstLineChars="0"/>
        <w:jc w:val="left"/>
        <w:outlineLvl w:val="2"/>
        <w:rPr>
          <w:rFonts w:ascii="原版宋体" w:hAnsi="原版宋体" w:eastAsia="宋体" w:cs="Times New Roman"/>
          <w:color w:val="000000"/>
          <w:kern w:val="0"/>
          <w:szCs w:val="21"/>
        </w:rPr>
      </w:pPr>
      <w:r>
        <w:rPr>
          <w:rFonts w:hint="default" w:ascii="原版宋体" w:hAnsi="原版宋体" w:eastAsia="宋体" w:cs="Times New Roman"/>
          <w:kern w:val="0"/>
          <w:szCs w:val="21"/>
        </w:rPr>
        <w:t>茯苓：</w:t>
      </w:r>
      <w:r>
        <w:rPr>
          <w:rFonts w:hint="default" w:ascii="原版宋体" w:hAnsi="原版宋体" w:eastAsia="宋体" w:cs="Times New Roman"/>
          <w:color w:val="000000"/>
          <w:kern w:val="0"/>
          <w:szCs w:val="21"/>
        </w:rPr>
        <w:t>真菌茯苓</w:t>
      </w:r>
      <w:r>
        <w:rPr>
          <w:rFonts w:hint="default" w:ascii="原版宋体" w:hAnsi="原版宋体" w:eastAsia="宋体" w:cs="Times New Roman"/>
          <w:i/>
          <w:iCs/>
          <w:color w:val="000000"/>
          <w:kern w:val="0"/>
          <w:szCs w:val="21"/>
        </w:rPr>
        <w:t>Poria cocos</w:t>
      </w:r>
      <w:r>
        <w:rPr>
          <w:rFonts w:hint="default" w:ascii="原版宋体" w:hAnsi="原版宋体" w:eastAsia="宋体" w:cs="Times New Roman"/>
          <w:iCs/>
          <w:color w:val="000000"/>
          <w:kern w:val="0"/>
          <w:szCs w:val="21"/>
        </w:rPr>
        <w:t xml:space="preserve"> (Schw.) Wolf</w:t>
      </w:r>
      <w:r>
        <w:rPr>
          <w:rFonts w:hint="default" w:ascii="原版宋体" w:hAnsi="原版宋体" w:eastAsia="宋体" w:cs="Times New Roman"/>
          <w:color w:val="000000"/>
          <w:kern w:val="0"/>
          <w:szCs w:val="21"/>
        </w:rPr>
        <w:t>的菌核，经采挖、去泥、清洗、去皮、切割、干燥等工序制成，用作食品加工原料。</w:t>
      </w:r>
    </w:p>
    <w:p>
      <w:pPr>
        <w:spacing w:before="50" w:after="50" w:line="440" w:lineRule="exact"/>
        <w:ind w:firstLine="420" w:firstLineChars="200"/>
        <w:outlineLvl w:val="1"/>
        <w:rPr>
          <w:rFonts w:ascii="原版宋体" w:hAnsi="原版宋体" w:eastAsia="宋体" w:cs="Times New Roman"/>
          <w:szCs w:val="21"/>
        </w:rPr>
      </w:pPr>
      <w:r>
        <w:rPr>
          <w:rFonts w:hint="default" w:ascii="原版宋体" w:hAnsi="原版宋体" w:eastAsia="黑体" w:cs="Times New Roman"/>
          <w:szCs w:val="21"/>
        </w:rPr>
        <w:t>4.技术要求</w:t>
      </w:r>
    </w:p>
    <w:p>
      <w:pPr>
        <w:numPr>
          <w:ilvl w:val="1"/>
          <w:numId w:val="0"/>
        </w:numPr>
        <w:spacing w:before="50" w:after="50"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4.1原料要求</w:t>
      </w:r>
    </w:p>
    <w:p>
      <w:pPr>
        <w:numPr>
          <w:ilvl w:val="1"/>
          <w:numId w:val="0"/>
        </w:numPr>
        <w:spacing w:before="50" w:after="50" w:line="44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茯苓：茯苓应新鲜、无虫蛀、无霉变、无病斑，呈</w:t>
      </w:r>
      <w:r>
        <w:rPr>
          <w:rFonts w:hint="default" w:ascii="原版宋体" w:hAnsi="原版宋体" w:eastAsia="宋体" w:cs="Times New Roman"/>
          <w:color w:val="000000"/>
          <w:kern w:val="0"/>
          <w:szCs w:val="21"/>
          <w:shd w:val="clear" w:color="auto" w:fill="FFFFFF"/>
        </w:rPr>
        <w:t>不规则团块，大小不一。外皮薄而粗糙，棕褐色至黑褐色，有明显的皱缩纹理。质坚实，断面呈颗粒性，内部白色，少数淡红色。</w:t>
      </w:r>
    </w:p>
    <w:p>
      <w:pPr>
        <w:numPr>
          <w:ilvl w:val="1"/>
          <w:numId w:val="0"/>
        </w:numPr>
        <w:spacing w:before="50" w:after="50" w:line="440" w:lineRule="exact"/>
        <w:ind w:left="420"/>
        <w:jc w:val="left"/>
        <w:outlineLvl w:val="3"/>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4.2生产用水</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应符合GB 5749的规定。</w:t>
      </w:r>
    </w:p>
    <w:p>
      <w:pPr>
        <w:numPr>
          <w:ilvl w:val="1"/>
          <w:numId w:val="0"/>
        </w:numPr>
        <w:spacing w:before="50" w:after="50"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4.3</w:t>
      </w:r>
      <w:r>
        <w:rPr>
          <w:rFonts w:hint="default" w:ascii="原版宋体" w:hAnsi="原版宋体" w:eastAsia="宋体" w:cs="Times New Roman"/>
          <w:color w:val="000000"/>
          <w:kern w:val="0"/>
          <w:szCs w:val="21"/>
        </w:rPr>
        <w:t>感官要求</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应符合表1规定。</w:t>
      </w:r>
    </w:p>
    <w:p>
      <w:pPr>
        <w:spacing w:before="156" w:beforeLines="50" w:after="156" w:afterLines="50" w:line="440" w:lineRule="exact"/>
        <w:jc w:val="center"/>
        <w:rPr>
          <w:rFonts w:ascii="原版宋体" w:hAnsi="原版宋体" w:eastAsia="宋体" w:cs="Times New Roman"/>
          <w:kern w:val="0"/>
          <w:szCs w:val="21"/>
        </w:rPr>
      </w:pPr>
      <w:r>
        <w:rPr>
          <w:rFonts w:hint="default" w:ascii="原版宋体" w:hAnsi="原版宋体" w:eastAsia="宋体" w:cs="Times New Roman"/>
          <w:kern w:val="0"/>
          <w:szCs w:val="21"/>
        </w:rPr>
        <w:t>表1感官要求</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62"/>
        <w:gridCol w:w="4516"/>
        <w:gridCol w:w="244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13" w:hRule="atLeast"/>
          <w:jc w:val="center"/>
        </w:trPr>
        <w:tc>
          <w:tcPr>
            <w:tcW w:w="1619"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项目</w:t>
            </w:r>
          </w:p>
        </w:tc>
        <w:tc>
          <w:tcPr>
            <w:tcW w:w="4753"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要求</w:t>
            </w:r>
          </w:p>
        </w:tc>
        <w:tc>
          <w:tcPr>
            <w:tcW w:w="2554"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检验方法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8" w:hRule="atLeast"/>
          <w:jc w:val="center"/>
        </w:trPr>
        <w:tc>
          <w:tcPr>
            <w:tcW w:w="1619"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色泽</w:t>
            </w:r>
          </w:p>
        </w:tc>
        <w:tc>
          <w:tcPr>
            <w:tcW w:w="4753" w:type="dxa"/>
            <w:vAlign w:val="center"/>
          </w:tcPr>
          <w:p>
            <w:pPr>
              <w:tabs>
                <w:tab w:val="center" w:pos="4201"/>
                <w:tab w:val="right" w:leader="dot" w:pos="9298"/>
              </w:tabs>
              <w:spacing w:line="440" w:lineRule="exact"/>
              <w:ind w:firstLine="210" w:firstLineChars="1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shd w:val="clear" w:color="auto" w:fill="FFFFFF"/>
              </w:rPr>
              <w:t>外皮棕褐色至黑褐色，内部白色，少数淡红色</w:t>
            </w:r>
          </w:p>
        </w:tc>
        <w:tc>
          <w:tcPr>
            <w:tcW w:w="2554" w:type="dxa"/>
            <w:vMerge w:val="restart"/>
            <w:vAlign w:val="center"/>
          </w:tcPr>
          <w:p>
            <w:pPr>
              <w:autoSpaceDE w:val="0"/>
              <w:autoSpaceDN w:val="0"/>
              <w:adjustRightInd w:val="0"/>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kern w:val="0"/>
                <w:szCs w:val="21"/>
              </w:rPr>
              <w:t>取适量样品置于洁净白色瓷盘中，在自然光线下目视色泽、组织形态、杂质，嗅其气味，用温开水漱口后尝其滋味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1" w:hRule="atLeast"/>
          <w:jc w:val="center"/>
        </w:trPr>
        <w:tc>
          <w:tcPr>
            <w:tcW w:w="1619"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气味、滋味</w:t>
            </w:r>
          </w:p>
        </w:tc>
        <w:tc>
          <w:tcPr>
            <w:tcW w:w="4753" w:type="dxa"/>
            <w:vAlign w:val="center"/>
          </w:tcPr>
          <w:p>
            <w:pPr>
              <w:tabs>
                <w:tab w:val="center" w:pos="4201"/>
                <w:tab w:val="right" w:leader="dot" w:pos="9298"/>
              </w:tabs>
              <w:spacing w:line="44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呈本品特有的气味及滋味，无异味</w:t>
            </w:r>
          </w:p>
        </w:tc>
        <w:tc>
          <w:tcPr>
            <w:tcW w:w="2554" w:type="dxa"/>
            <w:vMerge w:val="continue"/>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1" w:hRule="atLeast"/>
          <w:jc w:val="center"/>
        </w:trPr>
        <w:tc>
          <w:tcPr>
            <w:tcW w:w="1619"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形态</w:t>
            </w:r>
          </w:p>
        </w:tc>
        <w:tc>
          <w:tcPr>
            <w:tcW w:w="4753" w:type="dxa"/>
            <w:vAlign w:val="center"/>
          </w:tcPr>
          <w:p>
            <w:pPr>
              <w:tabs>
                <w:tab w:val="center" w:pos="4201"/>
                <w:tab w:val="right" w:leader="dot" w:pos="9298"/>
              </w:tabs>
              <w:spacing w:line="440" w:lineRule="exact"/>
              <w:ind w:firstLine="200"/>
              <w:rPr>
                <w:rFonts w:ascii="原版宋体" w:hAnsi="原版宋体" w:eastAsia="宋体" w:cs="Times New Roman"/>
                <w:color w:val="000000"/>
                <w:kern w:val="0"/>
                <w:szCs w:val="21"/>
                <w:lang w:val="en"/>
              </w:rPr>
            </w:pPr>
            <w:r>
              <w:rPr>
                <w:rFonts w:hint="default" w:ascii="原版宋体" w:hAnsi="原版宋体" w:eastAsia="宋体" w:cs="Times New Roman"/>
                <w:color w:val="000000"/>
                <w:kern w:val="0"/>
                <w:szCs w:val="21"/>
              </w:rPr>
              <w:t>具有产品应有的形态，无霉变、无虫蛀</w:t>
            </w:r>
          </w:p>
        </w:tc>
        <w:tc>
          <w:tcPr>
            <w:tcW w:w="2554" w:type="dxa"/>
            <w:vMerge w:val="continue"/>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3" w:hRule="atLeast"/>
          <w:jc w:val="center"/>
        </w:trPr>
        <w:tc>
          <w:tcPr>
            <w:tcW w:w="1619"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杂质</w:t>
            </w:r>
          </w:p>
        </w:tc>
        <w:tc>
          <w:tcPr>
            <w:tcW w:w="4753" w:type="dxa"/>
            <w:vAlign w:val="center"/>
          </w:tcPr>
          <w:p>
            <w:pPr>
              <w:tabs>
                <w:tab w:val="center" w:pos="4201"/>
                <w:tab w:val="right" w:leader="dot" w:pos="9298"/>
              </w:tabs>
              <w:spacing w:line="440" w:lineRule="exact"/>
              <w:ind w:firstLine="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无正常视力可见的外来杂质</w:t>
            </w:r>
          </w:p>
        </w:tc>
        <w:tc>
          <w:tcPr>
            <w:tcW w:w="2554" w:type="dxa"/>
            <w:vMerge w:val="continue"/>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p>
        </w:tc>
      </w:tr>
    </w:tbl>
    <w:p>
      <w:pPr>
        <w:numPr>
          <w:ilvl w:val="1"/>
          <w:numId w:val="0"/>
        </w:numPr>
        <w:spacing w:before="50" w:after="50"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4.4理化指标</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应符合表2的规定。</w:t>
      </w:r>
    </w:p>
    <w:p>
      <w:pPr>
        <w:spacing w:before="156" w:beforeLines="50" w:after="156" w:afterLines="50" w:line="440" w:lineRule="exact"/>
        <w:ind w:firstLine="3570" w:firstLineChars="1700"/>
        <w:rPr>
          <w:rFonts w:ascii="原版宋体" w:hAnsi="原版宋体" w:eastAsia="宋体" w:cs="Times New Roman"/>
          <w:kern w:val="0"/>
          <w:szCs w:val="21"/>
        </w:rPr>
      </w:pPr>
      <w:r>
        <w:rPr>
          <w:rFonts w:hint="default" w:ascii="原版宋体" w:hAnsi="原版宋体" w:eastAsia="宋体" w:cs="Times New Roman"/>
          <w:kern w:val="0"/>
          <w:szCs w:val="21"/>
        </w:rPr>
        <w:t>表2理化指标</w:t>
      </w:r>
    </w:p>
    <w:tbl>
      <w:tblPr>
        <w:tblStyle w:val="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259"/>
        <w:gridCol w:w="1768"/>
        <w:gridCol w:w="24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3" w:hRule="atLeast"/>
          <w:jc w:val="center"/>
        </w:trPr>
        <w:tc>
          <w:tcPr>
            <w:tcW w:w="3779"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项目</w:t>
            </w:r>
          </w:p>
        </w:tc>
        <w:tc>
          <w:tcPr>
            <w:tcW w:w="1965"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指标</w:t>
            </w:r>
          </w:p>
        </w:tc>
        <w:tc>
          <w:tcPr>
            <w:tcW w:w="2778"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检验方法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88" w:hRule="atLeast"/>
          <w:jc w:val="center"/>
        </w:trPr>
        <w:tc>
          <w:tcPr>
            <w:tcW w:w="3779" w:type="dxa"/>
            <w:vAlign w:val="center"/>
          </w:tcPr>
          <w:p>
            <w:pPr>
              <w:tabs>
                <w:tab w:val="center" w:pos="4201"/>
                <w:tab w:val="right" w:leader="dot" w:pos="9298"/>
              </w:tabs>
              <w:spacing w:line="440" w:lineRule="exact"/>
              <w:ind w:left="3255" w:hanging="3255" w:hangingChars="1550"/>
              <w:jc w:val="lef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水分/（%）                       ≤</w:t>
            </w:r>
          </w:p>
        </w:tc>
        <w:tc>
          <w:tcPr>
            <w:tcW w:w="1965" w:type="dxa"/>
            <w:vAlign w:val="center"/>
          </w:tcPr>
          <w:p>
            <w:pPr>
              <w:autoSpaceDE w:val="0"/>
              <w:autoSpaceDN w:val="0"/>
              <w:adjustRightInd w:val="0"/>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12.0</w:t>
            </w:r>
          </w:p>
        </w:tc>
        <w:tc>
          <w:tcPr>
            <w:tcW w:w="2778" w:type="dxa"/>
            <w:vAlign w:val="center"/>
          </w:tcPr>
          <w:p>
            <w:pPr>
              <w:autoSpaceDE w:val="0"/>
              <w:autoSpaceDN w:val="0"/>
              <w:adjustRightInd w:val="0"/>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GB 5009.3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3" w:hRule="atLeast"/>
          <w:jc w:val="center"/>
        </w:trPr>
        <w:tc>
          <w:tcPr>
            <w:tcW w:w="3779" w:type="dxa"/>
            <w:vAlign w:val="center"/>
          </w:tcPr>
          <w:p>
            <w:pPr>
              <w:tabs>
                <w:tab w:val="center" w:pos="4201"/>
                <w:tab w:val="right" w:leader="dot" w:pos="9298"/>
              </w:tabs>
              <w:spacing w:line="440" w:lineRule="exact"/>
              <w:ind w:left="3465" w:hanging="3465" w:hangingChars="1650"/>
              <w:jc w:val="left"/>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总灰分/（%）（以干基计）           ≤</w:t>
            </w:r>
          </w:p>
        </w:tc>
        <w:tc>
          <w:tcPr>
            <w:tcW w:w="1965" w:type="dxa"/>
            <w:vAlign w:val="center"/>
          </w:tcPr>
          <w:p>
            <w:pPr>
              <w:autoSpaceDE w:val="0"/>
              <w:autoSpaceDN w:val="0"/>
              <w:adjustRightInd w:val="0"/>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2.0</w:t>
            </w:r>
          </w:p>
        </w:tc>
        <w:tc>
          <w:tcPr>
            <w:tcW w:w="2778"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GB 5009.4 第一法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3" w:hRule="atLeast"/>
          <w:jc w:val="center"/>
        </w:trPr>
        <w:tc>
          <w:tcPr>
            <w:tcW w:w="3779" w:type="dxa"/>
            <w:vAlign w:val="center"/>
          </w:tcPr>
          <w:p>
            <w:pPr>
              <w:tabs>
                <w:tab w:val="center" w:pos="4201"/>
                <w:tab w:val="right" w:leader="dot" w:pos="9298"/>
              </w:tabs>
              <w:spacing w:line="440" w:lineRule="exact"/>
              <w:jc w:val="distribute"/>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总三萜/（%）                     ≥</w:t>
            </w:r>
          </w:p>
        </w:tc>
        <w:tc>
          <w:tcPr>
            <w:tcW w:w="1965" w:type="dxa"/>
            <w:vAlign w:val="center"/>
          </w:tcPr>
          <w:p>
            <w:pPr>
              <w:autoSpaceDE w:val="0"/>
              <w:autoSpaceDN w:val="0"/>
              <w:adjustRightInd w:val="0"/>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0.5</w:t>
            </w:r>
          </w:p>
        </w:tc>
        <w:tc>
          <w:tcPr>
            <w:tcW w:w="2778"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附录A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13" w:hRule="atLeast"/>
          <w:jc w:val="center"/>
        </w:trPr>
        <w:tc>
          <w:tcPr>
            <w:tcW w:w="3779" w:type="dxa"/>
            <w:vAlign w:val="center"/>
          </w:tcPr>
          <w:p>
            <w:pPr>
              <w:tabs>
                <w:tab w:val="center" w:pos="4201"/>
                <w:tab w:val="right" w:leader="dot" w:pos="9298"/>
              </w:tabs>
              <w:spacing w:line="440" w:lineRule="exact"/>
              <w:jc w:val="distribute"/>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茯苓酸/（%）                     ≥</w:t>
            </w:r>
          </w:p>
        </w:tc>
        <w:tc>
          <w:tcPr>
            <w:tcW w:w="1965" w:type="dxa"/>
            <w:vAlign w:val="center"/>
          </w:tcPr>
          <w:p>
            <w:pPr>
              <w:autoSpaceDE w:val="0"/>
              <w:autoSpaceDN w:val="0"/>
              <w:adjustRightInd w:val="0"/>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0.05</w:t>
            </w:r>
          </w:p>
        </w:tc>
        <w:tc>
          <w:tcPr>
            <w:tcW w:w="2778" w:type="dxa"/>
            <w:vAlign w:val="center"/>
          </w:tcPr>
          <w:p>
            <w:pPr>
              <w:tabs>
                <w:tab w:val="center" w:pos="4201"/>
                <w:tab w:val="right" w:leader="dot" w:pos="9298"/>
              </w:tabs>
              <w:spacing w:line="440" w:lineRule="exact"/>
              <w:jc w:val="center"/>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附录B</w:t>
            </w:r>
          </w:p>
        </w:tc>
      </w:tr>
    </w:tbl>
    <w:p>
      <w:pPr>
        <w:tabs>
          <w:tab w:val="center" w:pos="4201"/>
          <w:tab w:val="right" w:leader="dot" w:pos="9298"/>
        </w:tabs>
        <w:spacing w:line="440" w:lineRule="exact"/>
        <w:ind w:firstLine="200"/>
        <w:rPr>
          <w:rFonts w:ascii="原版宋体" w:hAnsi="原版宋体" w:eastAsia="宋体" w:cs="Times New Roman"/>
          <w:color w:val="000000"/>
          <w:kern w:val="0"/>
          <w:szCs w:val="21"/>
        </w:rPr>
      </w:pPr>
    </w:p>
    <w:p>
      <w:pPr>
        <w:numPr>
          <w:ilvl w:val="1"/>
          <w:numId w:val="0"/>
        </w:numPr>
        <w:spacing w:before="50" w:after="50"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4.5污染物限量</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污染物限量应符合GB 2762中食用菌及其制品的规定。</w:t>
      </w:r>
    </w:p>
    <w:p>
      <w:pPr>
        <w:numPr>
          <w:ilvl w:val="1"/>
          <w:numId w:val="0"/>
        </w:numPr>
        <w:spacing w:before="50" w:after="50"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4.6农药残留限量</w:t>
      </w:r>
    </w:p>
    <w:p>
      <w:pPr>
        <w:spacing w:line="440" w:lineRule="exact"/>
        <w:ind w:firstLine="420" w:firstLineChars="200"/>
        <w:jc w:val="left"/>
        <w:rPr>
          <w:rFonts w:ascii="原版宋体" w:hAnsi="原版宋体" w:eastAsia="宋体" w:cs="Times New Roman"/>
          <w:kern w:val="0"/>
          <w:szCs w:val="21"/>
          <w:lang w:bidi="ar"/>
        </w:rPr>
      </w:pPr>
      <w:r>
        <w:rPr>
          <w:rFonts w:hint="default" w:ascii="原版宋体" w:hAnsi="原版宋体" w:eastAsia="宋体" w:cs="Times New Roman"/>
          <w:kern w:val="0"/>
          <w:szCs w:val="21"/>
          <w:lang w:bidi="ar"/>
        </w:rPr>
        <w:t>农药残留限量应符</w:t>
      </w:r>
      <w:r>
        <w:rPr>
          <w:rFonts w:hint="default" w:ascii="原版宋体" w:hAnsi="原版宋体" w:eastAsia="宋体" w:cs="Times New Roman"/>
          <w:kern w:val="0"/>
          <w:szCs w:val="21"/>
        </w:rPr>
        <w:t>合GB 2763中食用菌的规</w:t>
      </w:r>
      <w:r>
        <w:rPr>
          <w:rFonts w:hint="default" w:ascii="原版宋体" w:hAnsi="原版宋体" w:eastAsia="宋体" w:cs="Times New Roman"/>
          <w:kern w:val="0"/>
          <w:szCs w:val="21"/>
          <w:lang w:bidi="ar"/>
        </w:rPr>
        <w:t>定。</w:t>
      </w:r>
    </w:p>
    <w:p>
      <w:pPr>
        <w:numPr>
          <w:ilvl w:val="1"/>
          <w:numId w:val="0"/>
        </w:numPr>
        <w:spacing w:before="50" w:after="50"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4.7净含量</w:t>
      </w:r>
    </w:p>
    <w:p>
      <w:pPr>
        <w:tabs>
          <w:tab w:val="center" w:pos="4201"/>
          <w:tab w:val="right" w:leader="dot" w:pos="9298"/>
        </w:tabs>
        <w:spacing w:line="440" w:lineRule="exact"/>
        <w:ind w:left="420" w:leftChars="200" w:firstLine="0" w:firstLineChars="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预包装食品净含量应符合原国家质量监督检验检疫总局第75号（2005）令《定量包装商品计量监督管理办法》的要求，净含量检测应按照JJF 1070的规定执行。</w:t>
      </w:r>
    </w:p>
    <w:p>
      <w:pPr>
        <w:spacing w:before="50" w:after="50" w:line="440" w:lineRule="exact"/>
        <w:ind w:firstLine="420" w:firstLineChars="200"/>
        <w:outlineLvl w:val="1"/>
        <w:rPr>
          <w:rFonts w:ascii="原版宋体" w:hAnsi="原版宋体" w:eastAsia="黑体" w:cs="Times New Roman"/>
          <w:szCs w:val="21"/>
        </w:rPr>
      </w:pPr>
      <w:r>
        <w:rPr>
          <w:rFonts w:hint="default" w:ascii="原版宋体" w:hAnsi="原版宋体" w:eastAsia="黑体" w:cs="Times New Roman"/>
          <w:szCs w:val="21"/>
        </w:rPr>
        <w:t>5.生产加工过程中的卫生要求</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生产加工过程中的卫生要求应符合GB 14881的规定。</w:t>
      </w:r>
    </w:p>
    <w:p>
      <w:pPr>
        <w:spacing w:before="50" w:after="50" w:line="440" w:lineRule="exact"/>
        <w:ind w:firstLine="420" w:firstLineChars="200"/>
        <w:outlineLvl w:val="1"/>
        <w:rPr>
          <w:rFonts w:ascii="原版宋体" w:hAnsi="原版宋体" w:eastAsia="宋体" w:cs="Times New Roman"/>
          <w:szCs w:val="21"/>
        </w:rPr>
      </w:pPr>
      <w:r>
        <w:rPr>
          <w:rFonts w:hint="default" w:ascii="原版宋体" w:hAnsi="原版宋体" w:eastAsia="黑体" w:cs="Times New Roman"/>
          <w:szCs w:val="21"/>
        </w:rPr>
        <w:t xml:space="preserve">6.标签、包装、运输、贮存 </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 xml:space="preserve">6.1预包装食品标签应符合GB 7718的规定。 </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6.2产品内包装应符合GB 4806.7的规定，产品外包装箱应符合GB/T 6543的规定。</w:t>
      </w:r>
    </w:p>
    <w:p>
      <w:pPr>
        <w:tabs>
          <w:tab w:val="center" w:pos="4201"/>
          <w:tab w:val="right" w:leader="dot" w:pos="9298"/>
        </w:tabs>
        <w:spacing w:line="440" w:lineRule="exact"/>
        <w:ind w:firstLine="420" w:firstLineChars="200"/>
        <w:rPr>
          <w:rFonts w:ascii="原版宋体" w:hAnsi="原版宋体" w:eastAsia="宋体" w:cs="Times New Roman"/>
          <w:color w:val="000000"/>
          <w:kern w:val="0"/>
          <w:szCs w:val="21"/>
        </w:rPr>
      </w:pPr>
      <w:r>
        <w:rPr>
          <w:rFonts w:hint="default" w:ascii="原版宋体" w:hAnsi="原版宋体" w:eastAsia="宋体" w:cs="Times New Roman"/>
          <w:color w:val="000000"/>
          <w:kern w:val="0"/>
          <w:szCs w:val="21"/>
        </w:rPr>
        <w:t>6.3运输和贮存应符合GB 31621的规定。</w:t>
      </w:r>
    </w:p>
    <w:p>
      <w:pPr>
        <w:numPr>
          <w:ilvl w:val="1"/>
          <w:numId w:val="0"/>
        </w:numPr>
        <w:spacing w:line="440" w:lineRule="exact"/>
        <w:jc w:val="left"/>
        <w:outlineLvl w:val="2"/>
        <w:rPr>
          <w:rFonts w:ascii="原版宋体" w:hAnsi="原版宋体" w:eastAsia="宋体" w:cs="Times New Roman"/>
          <w:kern w:val="0"/>
          <w:szCs w:val="21"/>
        </w:rPr>
      </w:pPr>
      <w:r>
        <w:rPr>
          <w:rFonts w:ascii="原版宋体" w:hAnsi="原版宋体" w:eastAsia="宋体" w:cs="Times New Roman"/>
          <w:color w:val="000000"/>
          <w:kern w:val="0"/>
          <w:szCs w:val="21"/>
        </w:rPr>
        <mc:AlternateContent>
          <mc:Choice Requires="wps">
            <w:drawing>
              <wp:anchor distT="0" distB="0" distL="114300" distR="114300" simplePos="0" relativeHeight="251664384" behindDoc="0" locked="0" layoutInCell="1" allowOverlap="1">
                <wp:simplePos x="0" y="0"/>
                <wp:positionH relativeFrom="column">
                  <wp:posOffset>1663700</wp:posOffset>
                </wp:positionH>
                <wp:positionV relativeFrom="paragraph">
                  <wp:posOffset>321945</wp:posOffset>
                </wp:positionV>
                <wp:extent cx="2775585" cy="10795"/>
                <wp:effectExtent l="0" t="4445" r="13335" b="7620"/>
                <wp:wrapNone/>
                <wp:docPr id="29" name="直接连接符 29"/>
                <wp:cNvGraphicFramePr/>
                <a:graphic xmlns:a="http://schemas.openxmlformats.org/drawingml/2006/main">
                  <a:graphicData uri="http://schemas.microsoft.com/office/word/2010/wordprocessingShape">
                    <wps:wsp>
                      <wps:cNvCnPr/>
                      <wps:spPr>
                        <a:xfrm>
                          <a:off x="2671445" y="8121650"/>
                          <a:ext cx="2775585" cy="10795"/>
                        </a:xfrm>
                        <a:prstGeom prst="line">
                          <a:avLst/>
                        </a:prstGeom>
                        <a:noFill/>
                        <a:ln w="9525" cap="flat" cmpd="sng" algn="ctr">
                          <a:solidFill>
                            <a:sysClr val="windowText" lastClr="000000"/>
                          </a:solidFill>
                          <a:prstDash val="solid"/>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31pt;margin-top:25.35pt;height:0.85pt;width:218.55pt;z-index:251664384;mso-width-relative:page;mso-height-relative:page;" filled="f" stroked="t" coordsize="21600,21600" o:gfxdata="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FgAAAGRycy9QSwECFAAUAAAACACHTuJAwg5G3dgAAAAJAQAADwAAAAAAAAAB&#10;ACAAAAA4AAAAZHJzL2Rvd25yZXYueG1sUEsBAhQAFAAAAAgAh07iQB2DdlD6AQAAzgMAAA4AAAAA&#10;AAAAAQAgAAAAPQEAAGRycy9lMm9Eb2MueG1sUEsFBgAAAAAGAAYAWQEAAKkFAAAAAA==&#10;">
                <v:fill on="f" focussize="0,0"/>
                <v:stroke color="#000000 [3204]" joinstyle="round"/>
                <v:imagedata o:title=""/>
                <o:lock v:ext="edit" aspectratio="f"/>
              </v:line>
            </w:pict>
          </mc:Fallback>
        </mc:AlternateContent>
      </w:r>
    </w:p>
    <w:p>
      <w:pPr>
        <w:numPr>
          <w:ilvl w:val="1"/>
          <w:numId w:val="0"/>
        </w:numPr>
        <w:spacing w:line="440" w:lineRule="exact"/>
        <w:jc w:val="left"/>
        <w:outlineLvl w:val="2"/>
        <w:rPr>
          <w:rFonts w:ascii="原版宋体" w:hAnsi="原版宋体" w:eastAsia="宋体" w:cs="Times New Roman"/>
          <w:kern w:val="0"/>
          <w:szCs w:val="21"/>
        </w:rPr>
      </w:pPr>
    </w:p>
    <w:p>
      <w:pPr>
        <w:jc w:val="left"/>
        <w:rPr>
          <w:rFonts w:ascii="原版宋体" w:hAnsi="原版宋体" w:eastAsia="宋体" w:cs="Times New Roman"/>
          <w:b/>
          <w:bCs/>
          <w:kern w:val="0"/>
          <w:szCs w:val="21"/>
        </w:rPr>
      </w:pPr>
      <w:r>
        <w:rPr>
          <w:rFonts w:hint="default" w:ascii="原版宋体" w:hAnsi="原版宋体" w:eastAsia="宋体" w:cs="Times New Roman"/>
          <w:b/>
          <w:bCs/>
          <w:kern w:val="0"/>
          <w:szCs w:val="21"/>
        </w:rPr>
        <w:br w:type="page"/>
      </w:r>
    </w:p>
    <w:p>
      <w:pPr>
        <w:spacing w:line="440" w:lineRule="exact"/>
        <w:jc w:val="left"/>
        <w:rPr>
          <w:rFonts w:ascii="原版宋体" w:hAnsi="原版宋体" w:eastAsia="宋体" w:cs="Times New Roman"/>
          <w:b/>
          <w:bCs/>
          <w:kern w:val="0"/>
          <w:szCs w:val="21"/>
        </w:rPr>
      </w:pPr>
    </w:p>
    <w:p>
      <w:pPr>
        <w:numPr>
          <w:ilvl w:val="1"/>
          <w:numId w:val="0"/>
        </w:numPr>
        <w:spacing w:line="440" w:lineRule="exact"/>
        <w:jc w:val="center"/>
        <w:outlineLvl w:val="2"/>
        <w:rPr>
          <w:rFonts w:ascii="原版宋体" w:hAnsi="原版宋体" w:eastAsia="宋体" w:cs="Times New Roman"/>
          <w:b/>
          <w:bCs/>
          <w:kern w:val="0"/>
          <w:szCs w:val="21"/>
        </w:rPr>
      </w:pPr>
      <w:r>
        <w:rPr>
          <w:rFonts w:hint="default" w:ascii="原版宋体" w:hAnsi="原版宋体" w:eastAsia="宋体" w:cs="Times New Roman"/>
          <w:b/>
          <w:bCs/>
          <w:kern w:val="0"/>
          <w:szCs w:val="21"/>
        </w:rPr>
        <w:t>附录A</w:t>
      </w:r>
    </w:p>
    <w:p>
      <w:pPr>
        <w:numPr>
          <w:ilvl w:val="1"/>
          <w:numId w:val="0"/>
        </w:numPr>
        <w:spacing w:line="440" w:lineRule="exact"/>
        <w:jc w:val="center"/>
        <w:outlineLvl w:val="2"/>
        <w:rPr>
          <w:rFonts w:ascii="原版宋体" w:hAnsi="原版宋体" w:eastAsia="宋体" w:cs="Times New Roman"/>
          <w:b/>
          <w:bCs/>
          <w:kern w:val="0"/>
          <w:szCs w:val="21"/>
        </w:rPr>
      </w:pPr>
    </w:p>
    <w:p>
      <w:pPr>
        <w:numPr>
          <w:ilvl w:val="255"/>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黑体" w:cs="Times New Roman"/>
          <w:kern w:val="0"/>
          <w:szCs w:val="21"/>
        </w:rPr>
        <w:t xml:space="preserve">1.原理 </w:t>
      </w:r>
    </w:p>
    <w:p>
      <w:p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茯苓中三萜类物质在酸性条件下与香草醛反应生成蓝紫色产物，在550nm波长下有最大吸收，吸收光度值与总三萜含量呈正比。</w:t>
      </w:r>
    </w:p>
    <w:p>
      <w:pPr>
        <w:numPr>
          <w:ilvl w:val="255"/>
          <w:numId w:val="0"/>
        </w:numPr>
        <w:spacing w:line="440" w:lineRule="exact"/>
        <w:ind w:firstLine="420" w:firstLineChars="200"/>
        <w:jc w:val="left"/>
        <w:outlineLvl w:val="2"/>
        <w:rPr>
          <w:rFonts w:ascii="原版宋体" w:hAnsi="原版宋体" w:eastAsia="宋体" w:cs="Times New Roman"/>
          <w:bCs/>
          <w:kern w:val="0"/>
          <w:szCs w:val="21"/>
        </w:rPr>
      </w:pPr>
      <w:r>
        <w:rPr>
          <w:rFonts w:hint="default" w:ascii="原版宋体" w:hAnsi="原版宋体" w:eastAsia="黑体" w:cs="Times New Roman"/>
          <w:bCs/>
          <w:kern w:val="0"/>
          <w:szCs w:val="21"/>
        </w:rPr>
        <w:t>2.试剂与材料</w:t>
      </w:r>
    </w:p>
    <w:p>
      <w:pPr>
        <w:numPr>
          <w:ilvl w:val="1"/>
          <w:numId w:val="0"/>
        </w:numPr>
        <w:spacing w:line="440" w:lineRule="exact"/>
        <w:ind w:firstLine="48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除非另有说明，本方法所用试剂均为分析纯，水为GB/T 6682规定的三级水。</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2.1 无水乙醇（C</w:t>
      </w:r>
      <w:r>
        <w:rPr>
          <w:rFonts w:hint="default" w:ascii="原版宋体" w:hAnsi="原版宋体" w:eastAsia="宋体" w:cs="Times New Roman"/>
          <w:kern w:val="0"/>
          <w:szCs w:val="21"/>
          <w:vertAlign w:val="subscript"/>
        </w:rPr>
        <w:t>2</w:t>
      </w:r>
      <w:r>
        <w:rPr>
          <w:rFonts w:hint="default" w:ascii="原版宋体" w:hAnsi="原版宋体" w:eastAsia="宋体" w:cs="Times New Roman"/>
          <w:kern w:val="0"/>
          <w:szCs w:val="21"/>
        </w:rPr>
        <w:t>H</w:t>
      </w:r>
      <w:r>
        <w:rPr>
          <w:rFonts w:hint="default" w:ascii="原版宋体" w:hAnsi="原版宋体" w:eastAsia="宋体" w:cs="Times New Roman"/>
          <w:kern w:val="0"/>
          <w:szCs w:val="21"/>
          <w:vertAlign w:val="subscript"/>
        </w:rPr>
        <w:t>5</w:t>
      </w:r>
      <w:r>
        <w:rPr>
          <w:rFonts w:hint="default" w:ascii="原版宋体" w:hAnsi="原版宋体" w:eastAsia="宋体" w:cs="Times New Roman"/>
          <w:kern w:val="0"/>
          <w:szCs w:val="21"/>
        </w:rPr>
        <w:t>OH）。</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2.2 高氯酸（HCLO</w:t>
      </w:r>
      <w:r>
        <w:rPr>
          <w:rFonts w:hint="default" w:ascii="原版宋体" w:hAnsi="原版宋体" w:eastAsia="宋体" w:cs="Times New Roman"/>
          <w:kern w:val="0"/>
          <w:szCs w:val="21"/>
          <w:vertAlign w:val="subscript"/>
        </w:rPr>
        <w:t>4</w:t>
      </w:r>
      <w:r>
        <w:rPr>
          <w:rFonts w:hint="default" w:ascii="原版宋体" w:hAnsi="原版宋体" w:eastAsia="宋体" w:cs="Times New Roman"/>
          <w:kern w:val="0"/>
          <w:szCs w:val="21"/>
        </w:rPr>
        <w:t>）。</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2.3 冰醋酸（CH</w:t>
      </w:r>
      <w:r>
        <w:rPr>
          <w:rFonts w:hint="default" w:ascii="原版宋体" w:hAnsi="原版宋体" w:eastAsia="宋体" w:cs="Times New Roman"/>
          <w:kern w:val="0"/>
          <w:szCs w:val="21"/>
          <w:vertAlign w:val="subscript"/>
        </w:rPr>
        <w:t>3</w:t>
      </w:r>
      <w:r>
        <w:rPr>
          <w:rFonts w:hint="default" w:ascii="原版宋体" w:hAnsi="原版宋体" w:eastAsia="宋体" w:cs="Times New Roman"/>
          <w:kern w:val="0"/>
          <w:szCs w:val="21"/>
        </w:rPr>
        <w:t>COOH）。</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2.4 甲醇（CH</w:t>
      </w:r>
      <w:r>
        <w:rPr>
          <w:rFonts w:hint="default" w:ascii="原版宋体" w:hAnsi="原版宋体" w:eastAsia="宋体" w:cs="Times New Roman"/>
          <w:kern w:val="0"/>
          <w:szCs w:val="21"/>
          <w:vertAlign w:val="subscript"/>
        </w:rPr>
        <w:t>3</w:t>
      </w:r>
      <w:r>
        <w:rPr>
          <w:rFonts w:hint="default" w:ascii="原版宋体" w:hAnsi="原版宋体" w:eastAsia="宋体" w:cs="Times New Roman"/>
          <w:kern w:val="0"/>
          <w:szCs w:val="21"/>
        </w:rPr>
        <w:t>OH）。</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2.5 5%香草醛-冰醋酸溶液：称取香草醛5g，加入约70mL冰醋酸溶解，溶解后加冰醋酸定容至100mL。</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2.6 齐墩果酸标准品：CAS号508-02-1，纯度≥99%。</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2.7 齐墩果酸标准储备溶液：准确称取105℃干燥至恒重的齐墩果酸标准品20mg（精确至0.1mg），用甲醇溶解并定容至100mL。该标准液中齐墩果酸的质量浓度为200µg/mL，4℃冰箱密封保存，有效期1个月。</w:t>
      </w:r>
    </w:p>
    <w:p>
      <w:pPr>
        <w:numPr>
          <w:ilvl w:val="1"/>
          <w:numId w:val="0"/>
        </w:numPr>
        <w:spacing w:line="440" w:lineRule="exact"/>
        <w:ind w:firstLine="420" w:firstLineChars="200"/>
        <w:jc w:val="left"/>
        <w:outlineLvl w:val="2"/>
        <w:rPr>
          <w:rFonts w:ascii="原版宋体" w:hAnsi="原版宋体" w:eastAsia="宋体" w:cs="Times New Roman"/>
          <w:bCs/>
          <w:kern w:val="0"/>
          <w:szCs w:val="21"/>
        </w:rPr>
      </w:pPr>
      <w:r>
        <w:rPr>
          <w:rFonts w:hint="default" w:ascii="原版宋体" w:hAnsi="原版宋体" w:eastAsia="黑体" w:cs="Times New Roman"/>
          <w:bCs/>
          <w:kern w:val="0"/>
          <w:szCs w:val="21"/>
        </w:rPr>
        <w:t>3. 仪器和设备</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3.1 分析天平：感量为0.1mg。</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3.2 分光光度计：配1cm比色皿，波长550nm。</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3.3 水浴锅：温度控制范围在60℃-100℃。</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3.4 超声波提取仪：500W。</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3.5 离心机：8000r/min。</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3.6 样品粉碎机。</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3.7 0.425mm标准网筛。</w:t>
      </w:r>
    </w:p>
    <w:p>
      <w:pPr>
        <w:numPr>
          <w:ilvl w:val="1"/>
          <w:numId w:val="0"/>
        </w:numPr>
        <w:spacing w:line="440" w:lineRule="exact"/>
        <w:ind w:firstLine="420" w:firstLineChars="200"/>
        <w:jc w:val="left"/>
        <w:outlineLvl w:val="2"/>
        <w:rPr>
          <w:rFonts w:ascii="原版宋体" w:hAnsi="原版宋体" w:eastAsia="宋体" w:cs="Times New Roman"/>
          <w:bCs/>
          <w:kern w:val="0"/>
          <w:szCs w:val="21"/>
        </w:rPr>
      </w:pPr>
      <w:r>
        <w:rPr>
          <w:rFonts w:hint="default" w:ascii="原版宋体" w:hAnsi="原版宋体" w:eastAsia="黑体" w:cs="Times New Roman"/>
          <w:bCs/>
          <w:kern w:val="0"/>
          <w:szCs w:val="21"/>
        </w:rPr>
        <w:t>4. 分析步骤</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4.1 样品制备</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取不少于200g具有代表性样品，用样品粉碎机粉碎，过0.425mm标准网筛，将样品装于密封容器中，0℃-20℃保存备用。</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4.2 样品提取</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称取样品0.5g（精准至0.0001g）至250mL具塞锥形瓶中，准确加入无水乙醇50mL，盖紧塞子，摇匀，置于超声波提取仪中超声提取1h，其间经常摇动，提取后混合均匀，取适当体积于8000r/min的离心机中离心10min，取上清液作为样品提取液备用。</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4.3 测定</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4.3.1 标准曲线</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准确移取齐墩果酸标准储备溶液0mL、0.1mL、0.2mL、0.3mL、0.4mL、0.5mL，置于10mL试管中，标准品质量分别为0µg、20µg、40µg、60µg、100µg，将试管置于温度为90℃-100℃水浴锅中挥干溶剂，加入5%香草醛-冰醋酸溶液0.1mL、高氯酸0.8mL，混匀后于60℃水浴中显色20min，取出后迅速置于冰水浴中冷却3min-5min，终止显色反应，再加入5.0mL冰醋酸，混匀，室温放置10min，立即用1cm比色皿，以0管调节零点，于波长550nm处测定吸光度。以齐墩果酸标准品质量为纵坐标、吸光度为横坐标，绘制标准曲线。</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4.3.2 样品测定</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准确移取适量体积样品提取液于10mL试管中，置于温度为90℃-100℃的水浴锅中挥干溶剂，以下操作同4.3.1，同时做试剂空白，并根据样品提取液的吸光度计算总三萜含量。若样品中总三萜含量测定值超出标准曲线范围，应适当稀释或增加移取体积后再次测定。</w:t>
      </w:r>
    </w:p>
    <w:p>
      <w:pPr>
        <w:numPr>
          <w:ilvl w:val="255"/>
          <w:numId w:val="0"/>
        </w:numPr>
        <w:spacing w:line="440" w:lineRule="exact"/>
        <w:ind w:firstLine="420" w:firstLineChars="200"/>
        <w:jc w:val="left"/>
        <w:outlineLvl w:val="2"/>
        <w:rPr>
          <w:rFonts w:ascii="原版宋体" w:hAnsi="原版宋体" w:eastAsia="宋体" w:cs="Times New Roman"/>
          <w:bCs/>
          <w:kern w:val="0"/>
          <w:szCs w:val="21"/>
        </w:rPr>
      </w:pPr>
      <w:r>
        <w:rPr>
          <w:rFonts w:hint="default" w:ascii="原版宋体" w:hAnsi="原版宋体" w:eastAsia="黑体" w:cs="Times New Roman"/>
          <w:bCs/>
          <w:kern w:val="0"/>
          <w:szCs w:val="21"/>
        </w:rPr>
        <w:t>5.试验数据处理</w:t>
      </w:r>
    </w:p>
    <w:p>
      <w:pPr>
        <w:numPr>
          <w:ilvl w:val="1"/>
          <w:numId w:val="0"/>
        </w:numPr>
        <w:spacing w:line="440" w:lineRule="exact"/>
        <w:ind w:firstLine="48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样品中总三萜（以齐墩果酸计）的含量按式（1）计算：</w:t>
      </w:r>
    </w:p>
    <w:p>
      <w:pPr>
        <w:numPr>
          <w:ilvl w:val="1"/>
          <w:numId w:val="0"/>
        </w:numPr>
        <w:spacing w:line="360" w:lineRule="auto"/>
        <w:ind w:firstLine="2310" w:firstLineChars="1100"/>
        <w:outlineLvl w:val="2"/>
        <w:rPr>
          <w:rFonts w:ascii="原版宋体" w:hAnsi="原版宋体" w:eastAsia="宋体" w:cs="Times New Roman"/>
          <w:kern w:val="0"/>
          <w:szCs w:val="21"/>
        </w:rPr>
      </w:pPr>
      <w:r>
        <w:rPr>
          <w:rFonts w:hint="default" w:ascii="原版宋体" w:hAnsi="原版宋体" w:eastAsia="宋体" w:cs="Times New Roman"/>
          <w:kern w:val="0"/>
          <w:szCs w:val="21"/>
        </w:rPr>
        <w:t>X=</w:t>
      </w:r>
      <w:r>
        <w:rPr>
          <w:rFonts w:hint="default" w:ascii="原版宋体" w:hAnsi="原版宋体" w:eastAsia="宋体" w:cs="Times New Roman"/>
          <w:kern w:val="0"/>
          <w:szCs w:val="21"/>
        </w:rPr>
        <w:fldChar w:fldCharType="begin"/>
      </w:r>
      <w:r>
        <w:rPr>
          <w:rFonts w:hint="default" w:ascii="原版宋体" w:hAnsi="原版宋体" w:eastAsia="宋体" w:cs="Times New Roman"/>
          <w:kern w:val="0"/>
          <w:szCs w:val="21"/>
        </w:rPr>
        <w:instrText xml:space="preserve"> QUOTE </w:instrText>
      </w:r>
      <w:r>
        <w:rPr>
          <w:rFonts w:ascii="原版宋体" w:hAnsi="原版宋体" w:eastAsia="宋体" w:cs="Times New Roman"/>
          <w:kern w:val="0"/>
          <w:position w:val="-25"/>
          <w:szCs w:val="21"/>
        </w:rPr>
        <w:pict>
          <v:shape id="_x0000_i1025" o:spt="75" type="#_x0000_t75" style="height:30.85pt;width:56.1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quot;/&gt;&lt;w:embedTrueTypeFonts/&gt;&lt;w:doNotEmbedSystemFonts/&gt;&lt;w:saveSubset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5690A98&quot;/&gt;&lt;wsp:rsid wsp:val=&quot;001E5348&quot;/&gt;&lt;wsp:rsid wsp:val=&quot;005B46B7&quot;/&gt;&lt;wsp:rsid wsp:val=&quot;00927B3A&quot;/&gt;&lt;wsp:rsid wsp:val=&quot;00A22D97&quot;/&gt;&lt;wsp:rsid wsp:val=&quot;00CE0E70&quot;/&gt;&lt;wsp:rsid wsp:val=&quot;00D54E28&quot;/&gt;&lt;wsp:rsid wsp:val=&quot;05690A98&quot;/&gt;&lt;wsp:rsid wsp:val=&quot;0C917B0E&quot;/&gt;&lt;wsp:rsid wsp:val=&quot;103B1BF6&quot;/&gt;&lt;wsp:rsid wsp:val=&quot;13063BC6&quot;/&gt;&lt;wsp:rsid wsp:val=&quot;18117D55&quot;/&gt;&lt;wsp:rsid wsp:val=&quot;2C83526D&quot;/&gt;&lt;wsp:rsid wsp:val=&quot;2F3517DE&quot;/&gt;&lt;wsp:rsid wsp:val=&quot;40424AD1&quot;/&gt;&lt;wsp:rsid wsp:val=&quot;4AB7408B&quot;/&gt;&lt;wsp:rsid wsp:val=&quot;5144505A&quot;/&gt;&lt;wsp:rsid wsp:val=&quot;57B974E6&quot;/&gt;&lt;wsp:rsid wsp:val=&quot;5FB760C3&quot;/&gt;&lt;wsp:rsid wsp:val=&quot;602647FC&quot;/&gt;&lt;wsp:rsid wsp:val=&quot;71D23439&quot;/&gt;&lt;wsp:rsid wsp:val=&quot;737B00C0&quot;/&gt;&lt;wsp:rsid wsp:val=&quot;740C34A6&quot;/&gt;&lt;/wsp:rsids&gt;&lt;/w:docPr&gt;&lt;w:body&gt;&lt;wx:sect&gt;&lt;w:p wsp:rsidR=&quot;00000000&quot; wsp:rsidRDefault=&quot;00CE0E70&quot; wsp:rsidP=&quot;00CE0E70&quot;&gt;&lt;m:oMathPara&gt;&lt;m:oMath&gt;&lt;m:f&gt;&lt;m:fPr&gt;&lt;m:ctrlPr&gt;&lt;w:rPr&gt;&lt;w:rFonts w:ascii=&quot;DejaVu Math TeX Gyre&quot; w:h-ansi=&quot;DejaVu Math TeX Gyre&quot;/&gt;&lt;wx:font wx:val=&quot;DejaVu Math TeX Gyre&quot;/&gt;&lt;w:i/&gt;&lt;/w:rPr&gt;&lt;/m:ctrlPr&gt;&lt;/m:fPr&gt;&lt;m:num&gt;&lt;m:sSub&gt;&lt;m:sSubPr&gt;&lt;m:ctrlPr&gt;&lt;w:rPr&gt;&lt;w:rFonts w:ascii=&quot;DejaVu Math TeX Gyre&quot; w:h-ansi=&quot;DejaVu Math TeX Gyre&quot;/&gt;&lt;wx:font wx:val=&quot;DejaVu Math TeX Gyre&quot;/&gt;&lt;w:i/&gt;&lt;/w:rPr&gt;&lt;/m:ctrlPr&gt;&lt;/m:sSubPr&gt;&lt;m:e&gt;&lt;m:r&gt;&lt;w:rPr&gt;&lt;w:rFonts w:ascii=&quot;DejaVu Math TeX Gyre&quot; w:h-ansi=&quot;DejaVu Math TeX Gyre&quot;/&gt;&lt;wx:font wx:val=&quot;DejaVu Math TeX Gyre&quot;/&gt;&lt;w:i/&gt;&lt;/w:rPr&gt;&lt;m:t&gt;m&lt;/m:t&gt;&lt;/m:r&gt;&lt;/m:e&gt;&lt;m:sub&gt;&lt;m:r&gt;&lt;w:rPr&gt;&lt;w:rFonts w:ascii=&quot;DejaVu Math TeX Gyre&quot; w:h-ansi=&quot;DejaVu Math TeX Gyre&quot;/&gt;&lt;wx:font wx:val=&quot;DejaVu Math TeX Gyre&quot;/&gt;&lt;w:i/&gt;&lt;/w:rPr&gt;&lt;m:t&gt;1&lt;/m:t&gt;&lt;/m:r&gt;&lt;/m:sub&gt;&lt;/m:sSub&gt;&lt;m:r&gt;&lt;w:rPr&gt;&lt;w:rFonts w:ascii=&quot;DejaVu Math TeX Gyre&quot; w:h-ansi=&quot;DejaVu Math TeX Gyre&quot;/&gt;&lt;wx:font wx:val=&quot;DejaVu Math TeX Gyre&quot;/&gt;&lt;w:i/&gt;&lt;/w:rPr&gt;&lt;m:t&gt;??V/m:t&gt;&lt;/m:r&gt;&lt;m:sSub&gt;&lt;m:sSubPr&gt;&lt;m:ctrlPr&gt;&lt;w:rPr&gt;&lt;w:rFonts w:ascii=&quot;DejaVu Math TeX Gyre&quot; w:h-ansi=&quot;DejaVu Math TeX Gyre&quot;/&gt;&lt;wx:font wx:val=&quot;DejaVu Math TeX Gyre&quot;/&gt;&lt;w:i/&gt;&lt;/w:rPr&gt;&lt;/m:ctrlPr&gt;&lt;/m:sSubPr&gt;&lt;m:e&gt;&lt;m:r&gt;&lt;w:rPr&gt;&lt;w:rFonts w:ascii=&quot;DejaVu Math TeX Gyre?&quot; w:h-ansi=&quot;DejaVu Math TeX Gyre&quot;/&gt;&lt;wx:font wx:val=&quot;DejaVu Math TeX Gyre&quot;/&gt;&lt;w:i/&gt;&lt;/w:rPr&gt;&lt;m:t&gt;V&lt;/m:t&gt;&lt;/m:r&gt;&lt;/m:e&gt;&lt;m:sub&gt;&lt;m:r&gt;&lt;w:rPr&gt;&lt;w:rFonts w:ascii=&quot;DejaVu Math TeX Gyre&quot; w:h-ansi=&quot;DejaVu Math TeX Gyre&quot;/&gt;&lt;wx:font wx:val=&quot;DejaVu Math TeX Gyre&quot;/&gt;&lt;w:i/&gt;&lt;/w:rPr&gt;&lt;m:t&gt;1&lt;/m:t&gt;&lt;/m:r&gt;&lt;/m:sub&gt;&lt;/m:sSub&gt;&lt;m:r&gt;&lt;w:rPr&gt;&lt;w:rFonts w:ascii=&quot;DejaVu Math TeX Gyre&quot; w:h-ansi=&quot;DejaVu Math TeX Gyre&quot;/&gt;&lt;wx:font wx:val=&quot;DejaVu Math TeX Gyre&quot;/&gt;&lt;w:i/&gt;&lt;/w:rPr&gt;&lt;m:t&gt;×f&lt;/m:t&gt;&lt;/m:r&gt;&lt;/m:num&gt;&lt;m:den&gt;&lt;m:sSub&gt;&lt;m:sSubPr&gt;&lt;m:ctrlPr&gt;&lt;w:rPr&gt;&lt;w:rFwwwwwwwontPs w:ascii=&quot;DejaVu Math TeX Gyre&quot; w:h-ansi=&quot;DejaVu Math TeX Gyre&quot;/&gt;&lt;wx:font wx:val=&quot;DejaVu Math TeX Gyre&quot;/&gt;&lt;w:i/&gt;&lt;/w:rPr&gt;&lt;/m:ctrlPr&gt;&lt;/m:sSubPr&gt;&lt;m:e&gt;&lt;m:r&gt;&lt;w:rPr&gt;&lt;w:rFonts w:ascii=&quot;DejaVu Math TeX Gyre&quot; w:h-ansi=&quot;DejaVu Math TeX Gyre&quot;/&gt;&lt;wx:font wx:val=&quot;DejaVu Math TeX Gyre&quot;/&gt;&lt;w:i/&gt;&lt;/w:rPr&gt;&lt;m:t&gt;m&lt;/m:t&gt;&lt;/m:r&gt;&lt;/m:e&gt;&lt;m:sub&gt;&lt;m:r&gt;&lt;w:rPr&gt;&lt;w:rFonts w:ascii=&quot;DejaVu Math TeX Gyre&quot; w:h-ansi=&quot;DejaVu Math TeX Gyre&quot;/&gt;&lt;wx:font wx:val=&quot;DejaVu Math TeX Gyre&quot;/&gt;&lt;w:i/&gt;&lt;/w:rPr&gt;&lt;m:t&gt;2&lt;/m:t&gt;&lt;/m:r&gt;&lt;/m:sub&gt;&lt;/m:sSub&gt;&lt;m:r&gt;&lt;w:rPr&gt;&lt;w:rFonts w:ascii=&quot;DejaVu Math TeX Gyre&quot; w:h-ansi=&quot;DejaVu Math TeX Gyre&quot;/&gt;&lt;wx:font wx:val=&quot;DejaVu Math TeX Gyre&quot;/&gt;&lt;w:i/&gt;&lt;/w:rPr&gt;&lt;m:t&gt;×&lt;/m:t&gt;&lt;/m:r&gt;&lt;m:sSub&gt;&lt;m:sSubPr&gt;&lt;m:ctrlPr&gt;&lt;w:rPr&gt;&lt;w:rFonts w:ascii=&quot;DejaVu Math TeX Gyre&quot; w:h-ansi=&quot;DejaVu Math TeX Gwy:rreP&quot;r/&gt;&gt;&lt;&lt;wx:Ffont wx:val=&quot;DejaVu Math TeX Gyre&quot;/&gt;&lt;w:i/&gt;&lt;/w:rPr&gt;&lt;/m:ctrlPr&gt;&lt;/m:sSubPr&gt;&lt;m:e&gt;&lt;m:r&gt;&lt;w:rPr&gt;&lt;w:rFonts w:ascii=&quot;DejaVu Math TeX Gyre&quot; w:h-ansi=&quot;DejaVu Math TeX Gyre&quot;/&gt;&lt;wx:font wx:val=&quot;DejaVu Math TeX Gyre&quot;/&gt;&lt;w:i/&gt;&lt;/w:rPr&gt;&lt;m:t&gt;V&lt;/m:t&gt;&lt;/m:r&gt;&lt;/m:e&gt;&lt;m:sub&gt;&lt;m:r&gt;&lt;w:rPr&gt;&lt;w:rFonts w:ascii=&quot;DejaVu Math TeX Gyre&quot; w:h-ansi=&quot;DejaVu Math TeX Gyre&quot;/&gt;&lt;wx:font wx:val=&quot;DejaVu Math TeX Gyre&quot;/&gt;&lt;w:i/&gt;&lt;/w:rPr&gt;&lt;m:t&gt;2&lt;/m:t&gt;&lt;/m:r&gt;&lt;/m:sub&gt;&lt;/m:sSub&gt;&lt;m:r&gt;&lt;w:rPr&gt;&lt;w:rFonts w:ascii=&quot;DejaVu Math TeX Gyre&quot; w:h-ansi=&quot;DejaVu Math TeX Gyre&quot;/&gt;&lt;wx:font wx:val=&quot;DejaVu Math TeX Gyre&quot;/&gt;&lt;w:i/&gt;&lt;/w:rPr&gt;&lt;m:t&gt;×&lt;/m:t&gt;&lt;/m:r&gt;&lt;m:sSup&gt;&lt;m:sSupPr&gt;&lt;m:ctrlPr&gt;&lt;w:rPr&gt;&lt;w:rFonts w:ascii=&quot;DejaVu Math TeX Gyre&quot; w:h-ansi=&quot;DejaVu Math TeX Gyre&quot;/&gt;&lt;wx:font wx:val=&quot;DejaVu Math TeX Gyre&quot;/&gt;&lt;w:i/&gt;&lt;/w:rPr&gt;&lt;/m :catrhlPTr&gt;X&lt;/Gm:rsSupP&lt;r&gt;&lt;m:e&gt;&lt;m:r&gt;&lt;w:rPr&gt;&lt;w:rFonts w:ascii=&quot;DejaVu Math TeX Gyre&quot; w:h-ansi=&quot;DejaVu Math TeX Gyre&quot;/&gt;&lt;wx:font wx:val=&quot;DejaVu Math TeX Gyre&quot;/&gt;&lt;w:i/&gt;&lt;/w:rPr&gt;&lt;m:t&gt;10&lt;/m:t&gt;&lt;/m:r&gt;&lt;/m:e&gt;&lt;m:sup&gt;&lt;m:r&gt;&lt;w:rPr&gt;&lt;w:rFonts w:ascii=&quot;DejaVu Math TeX Gyre&quot; w:h-ansi=&quot;DejaVu Math TeX Gyre&quot;/&gt;&lt;wx:font wx:val=&quot;DejaVu Math TeX Gyre&quot;/&gt;&lt;w:i/&gt;&lt;/w:rPr&gt;&lt;m:t&gt;6&lt;/m:t&gt;&lt;/m:r&gt;&lt;/m:sup&gt;&lt;/m:sSup&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27" chromakey="#FFFFFF" o:title=""/>
            <o:lock v:ext="edit" aspectratio="t"/>
            <w10:wrap type="none"/>
            <w10:anchorlock/>
          </v:shape>
        </w:pict>
      </w:r>
      <w:r>
        <w:rPr>
          <w:rFonts w:hint="default" w:ascii="原版宋体" w:hAnsi="原版宋体" w:eastAsia="宋体" w:cs="Times New Roman"/>
          <w:kern w:val="0"/>
          <w:szCs w:val="21"/>
        </w:rPr>
        <w:instrText xml:space="preserve"> </w:instrText>
      </w:r>
      <w:r>
        <w:rPr>
          <w:rFonts w:hint="default" w:ascii="原版宋体" w:hAnsi="原版宋体" w:eastAsia="宋体" w:cs="Times New Roman"/>
          <w:kern w:val="0"/>
          <w:szCs w:val="21"/>
        </w:rPr>
        <w:fldChar w:fldCharType="separate"/>
      </w:r>
      <w:r>
        <w:rPr>
          <w:rFonts w:ascii="原版宋体" w:hAnsi="原版宋体" w:eastAsia="宋体" w:cs="Times New Roman"/>
          <w:kern w:val="0"/>
          <w:position w:val="-25"/>
          <w:szCs w:val="21"/>
        </w:rPr>
        <w:pict>
          <v:shape id="_x0000_i1026" o:spt="75" type="#_x0000_t75" style="height:45.1pt;width:56.1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quot;/&gt;&lt;w:embedTrueTypeFonts/&gt;&lt;w:doNotEmbedSystemFonts/&gt;&lt;w:saveSubset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5690A98&quot;/&gt;&lt;wsp:rsid wsp:val=&quot;001E5348&quot;/&gt;&lt;wsp:rsid wsp:val=&quot;005B46B7&quot;/&gt;&lt;wsp:rsid wsp:val=&quot;00927B3A&quot;/&gt;&lt;wsp:rsid wsp:val=&quot;00A22D97&quot;/&gt;&lt;wsp:rsid wsp:val=&quot;00CE0E70&quot;/&gt;&lt;wsp:rsid wsp:val=&quot;00D54E28&quot;/&gt;&lt;wsp:rsid wsp:val=&quot;05690A98&quot;/&gt;&lt;wsp:rsid wsp:val=&quot;0C917B0E&quot;/&gt;&lt;wsp:rsid wsp:val=&quot;103B1BF6&quot;/&gt;&lt;wsp:rsid wsp:val=&quot;13063BC6&quot;/&gt;&lt;wsp:rsid wsp:val=&quot;18117D55&quot;/&gt;&lt;wsp:rsid wsp:val=&quot;2C83526D&quot;/&gt;&lt;wsp:rsid wsp:val=&quot;2F3517DE&quot;/&gt;&lt;wsp:rsid wsp:val=&quot;40424AD1&quot;/&gt;&lt;wsp:rsid wsp:val=&quot;4AB7408B&quot;/&gt;&lt;wsp:rsid wsp:val=&quot;5144505A&quot;/&gt;&lt;wsp:rsid wsp:val=&quot;57B974E6&quot;/&gt;&lt;wsp:rsid wsp:val=&quot;5FB760C3&quot;/&gt;&lt;wsp:rsid wsp:val=&quot;602647FC&quot;/&gt;&lt;wsp:rsid wsp:val=&quot;71D23439&quot;/&gt;&lt;wsp:rsid wsp:val=&quot;737B00C0&quot;/&gt;&lt;wsp:rsid wsp:val=&quot;740C34A6&quot;/&gt;&lt;/wsp:rsids&gt;&lt;/w:docPr&gt;&lt;w:body&gt;&lt;wx:sect&gt;&lt;w:p wsp:rsidR=&quot;00000000&quot; wsp:rsidRDefault=&quot;00CE0E70&quot; wsp:rsidP=&quot;00CE0E70&quot;&gt;&lt;m:oMathPara&gt;&lt;m:oMath&gt;&lt;m:f&gt;&lt;m:fPr&gt;&lt;m:ctrlPr&gt;&lt;w:rPr&gt;&lt;w:rFonts w:ascii=&quot;DejaVu Math TeX Gyre&quot; w:h-ansi=&quot;DejaVu Math TeX Gyre&quot;/&gt;&lt;wx:font wx:val=&quot;DejaVu Math TeX Gyre&quot;/&gt;&lt;w:i/&gt;&lt;/w:rPr&gt;&lt;/m:ctrlPr&gt;&lt;/m:fPr&gt;&lt;m:num&gt;&lt;m:sSub&gt;&lt;m:sSubPr&gt;&lt;m:ctrlPr&gt;&lt;w:rPr&gt;&lt;w:rFonts w:ascii=&quot;DejaVu Math TeX Gyre&quot; w:h-ansi=&quot;DejaVu Math TeX Gyre&quot;/&gt;&lt;wx:font wx:val=&quot;DejaVu Math TeX Gyre&quot;/&gt;&lt;w:i/&gt;&lt;/w:rPr&gt;&lt;/m:ctrlPr&gt;&lt;/m:sSubPr&gt;&lt;m:e&gt;&lt;m:r&gt;&lt;w:rPr&gt;&lt;w:rFonts w:ascii=&quot;DejaVu Math TeX Gyre&quot; w:h-ansi=&quot;DejaVu Math TeX Gyre&quot;/&gt;&lt;wx:font wx:val=&quot;DejaVu Math TeX Gyre&quot;/&gt;&lt;w:i/&gt;&lt;/w:rPr&gt;&lt;m:t&gt;m&lt;/m:t&gt;&lt;/m:r&gt;&lt;/m:e&gt;&lt;m:sub&gt;&lt;m:r&gt;&lt;w:rPr&gt;&lt;w:rFonts w:ascii=&quot;DejaVu Math TeX Gyre&quot; w:h-ansi=&quot;DejaVu Math TeX Gyre&quot;/&gt;&lt;wx:font wx:val=&quot;DejaVu Math TeX Gyre&quot;/&gt;&lt;w:i/&gt;&lt;/w:rPr&gt;&lt;m:t&gt;1&lt;/m:t&gt;&lt;/m:r&gt;&lt;/m:sub&gt;&lt;/m:sSub&gt;&lt;m:r&gt;&lt;w:rPr&gt;&lt;w:rFonts w:ascii=&quot;DejaVu Math TeX Gyre&quot; w:h-ansi=&quot;DejaVu Math TeX Gyre&quot;/&gt;&lt;wx:font wx:val=&quot;DejaVu Math TeX Gyre&quot;/&gt;&lt;w:i/&gt;&lt;/w:rPr&gt;&lt;m:t&gt;??V/m:t&gt;&lt;/m:r&gt;&lt;m:sSub&gt;&lt;m:sSubPr&gt;&lt;m:ctrlPr&gt;&lt;w:rPr&gt;&lt;w:rFonts w:ascii=&quot;DejaVu Math TeX Gyre&quot; w:h-ansi=&quot;DejaVu Math TeX Gyre&quot;/&gt;&lt;wx:font wx:val=&quot;DejaVu Math TeX Gyre&quot;/&gt;&lt;w:i/&gt;&lt;/w:rPr&gt;&lt;/m:ctrlPr&gt;&lt;/m:sSubPr&gt;&lt;m:e&gt;&lt;m:r&gt;&lt;w:rPr&gt;&lt;w:rFonts w:ascii=&quot;DejaVu Math TeX Gyre?&quot; w:h-ansi=&quot;DejaVu Math TeX Gyre&quot;/&gt;&lt;wx:font wx:val=&quot;DejaVu Math TeX Gyre&quot;/&gt;&lt;w:i/&gt;&lt;/w:rPr&gt;&lt;m:t&gt;V&lt;/m:t&gt;&lt;/m:r&gt;&lt;/m:e&gt;&lt;m:sub&gt;&lt;m:r&gt;&lt;w:rPr&gt;&lt;w:rFonts w:ascii=&quot;DejaVu Math TeX Gyre&quot; w:h-ansi=&quot;DejaVu Math TeX Gyre&quot;/&gt;&lt;wx:font wx:val=&quot;DejaVu Math TeX Gyre&quot;/&gt;&lt;w:i/&gt;&lt;/w:rPr&gt;&lt;m:t&gt;1&lt;/m:t&gt;&lt;/m:r&gt;&lt;/m:sub&gt;&lt;/m:sSub&gt;&lt;m:r&gt;&lt;w:rPr&gt;&lt;w:rFonts w:ascii=&quot;DejaVu Math TeX Gyre&quot; w:h-ansi=&quot;DejaVu Math TeX Gyre&quot;/&gt;&lt;wx:font wx:val=&quot;DejaVu Math TeX Gyre&quot;/&gt;&lt;w:i/&gt;&lt;/w:rPr&gt;&lt;m:t&gt;×f&lt;/m:t&gt;&lt;/m:r&gt;&lt;/m:num&gt;&lt;m:den&gt;&lt;m:sSub&gt;&lt;m:sSubPr&gt;&lt;m:ctrlPr&gt;&lt;w:rPr&gt;&lt;w:rFwwwwwwwontPs w:ascii=&quot;DejaVu Math TeX Gyre&quot; w:h-ansi=&quot;DejaVu Math TeX Gyre&quot;/&gt;&lt;wx:font wx:val=&quot;DejaVu Math TeX Gyre&quot;/&gt;&lt;w:i/&gt;&lt;/w:rPr&gt;&lt;/m:ctrlPr&gt;&lt;/m:sSubPr&gt;&lt;m:e&gt;&lt;m:r&gt;&lt;w:rPr&gt;&lt;w:rFonts w:ascii=&quot;DejaVu Math TeX Gyre&quot; w:h-ansi=&quot;DejaVu Math TeX Gyre&quot;/&gt;&lt;wx:font wx:val=&quot;DejaVu Math TeX Gyre&quot;/&gt;&lt;w:i/&gt;&lt;/w:rPr&gt;&lt;m:t&gt;m&lt;/m:t&gt;&lt;/m:r&gt;&lt;/m:e&gt;&lt;m:sub&gt;&lt;m:r&gt;&lt;w:rPr&gt;&lt;w:rFonts w:ascii=&quot;DejaVu Math TeX Gyre&quot; w:h-ansi=&quot;DejaVu Math TeX Gyre&quot;/&gt;&lt;wx:font wx:val=&quot;DejaVu Math TeX Gyre&quot;/&gt;&lt;w:i/&gt;&lt;/w:rPr&gt;&lt;m:t&gt;2&lt;/m:t&gt;&lt;/m:r&gt;&lt;/m:sub&gt;&lt;/m:sSub&gt;&lt;m:r&gt;&lt;w:rPr&gt;&lt;w:rFonts w:ascii=&quot;DejaVu Math TeX Gyre&quot; w:h-ansi=&quot;DejaVu Math TeX Gyre&quot;/&gt;&lt;wx:font wx:val=&quot;DejaVu Math TeX Gyre&quot;/&gt;&lt;w:i/&gt;&lt;/w:rPr&gt;&lt;m:t&gt;×&lt;/m:t&gt;&lt;/m:r&gt;&lt;m:sSub&gt;&lt;m:sSubPr&gt;&lt;m:ctrlPr&gt;&lt;w:rPr&gt;&lt;w:rFonts w:ascii=&quot;DejaVu Math TeX Gyre&quot; w:h-ansi=&quot;DejaVu Math TeX Gwy:rreP&quot;r/&gt;&gt;&lt;&lt;wx:Ffont wx:val=&quot;DejaVu Math TeX Gyre&quot;/&gt;&lt;w:i/&gt;&lt;/w:rPr&gt;&lt;/m:ctrlPr&gt;&lt;/m:sSubPr&gt;&lt;m:e&gt;&lt;m:r&gt;&lt;w:rPr&gt;&lt;w:rFonts w:ascii=&quot;DejaVu Math TeX Gyre&quot; w:h-ansi=&quot;DejaVu Math TeX Gyre&quot;/&gt;&lt;wx:font wx:val=&quot;DejaVu Math TeX Gyre&quot;/&gt;&lt;w:i/&gt;&lt;/w:rPr&gt;&lt;m:t&gt;V&lt;/m:t&gt;&lt;/m:r&gt;&lt;/m:e&gt;&lt;m:sub&gt;&lt;m:r&gt;&lt;w:rPr&gt;&lt;w:rFonts w:ascii=&quot;DejaVu Math TeX Gyre&quot; w:h-ansi=&quot;DejaVu Math TeX Gyre&quot;/&gt;&lt;wx:font wx:val=&quot;DejaVu Math TeX Gyre&quot;/&gt;&lt;w:i/&gt;&lt;/w:rPr&gt;&lt;m:t&gt;2&lt;/m:t&gt;&lt;/m:r&gt;&lt;/m:sub&gt;&lt;/m:sSub&gt;&lt;m:r&gt;&lt;w:rPr&gt;&lt;w:rFonts w:ascii=&quot;DejaVu Math TeX Gyre&quot; w:h-ansi=&quot;DejaVu Math TeX Gyre&quot;/&gt;&lt;wx:font wx:val=&quot;DejaVu Math TeX Gyre&quot;/&gt;&lt;w:i/&gt;&lt;/w:rPr&gt;&lt;m:t&gt;×&lt;/m:t&gt;&lt;/m:r&gt;&lt;m:sSup&gt;&lt;m:sSupPr&gt;&lt;m:ctrlPr&gt;&lt;w:rPr&gt;&lt;w:rFonts w:ascii=&quot;DejaVu Math TeX Gyre&quot; w:h-ansi=&quot;DejaVu Math TeX Gyre&quot;/&gt;&lt;wx:font wx:val=&quot;DejaVu Math TeX Gyre&quot;/&gt;&lt;w:i/&gt;&lt;/w:rPr&gt;&lt;/m :catrhlPTr&gt;X&lt;/Gm:rsSupP&lt;r&gt;&lt;m:e&gt;&lt;m:r&gt;&lt;w:rPr&gt;&lt;w:rFonts w:ascii=&quot;DejaVu Math TeX Gyre&quot; w:h-ansi=&quot;DejaVu Math TeX Gyre&quot;/&gt;&lt;wx:font wx:val=&quot;DejaVu Math TeX Gyre&quot;/&gt;&lt;w:i/&gt;&lt;/w:rPr&gt;&lt;m:t&gt;10&lt;/m:t&gt;&lt;/m:r&gt;&lt;/m:e&gt;&lt;m:sup&gt;&lt;m:r&gt;&lt;w:rPr&gt;&lt;w:rFonts w:ascii=&quot;DejaVu Math TeX Gyre&quot; w:h-ansi=&quot;DejaVu Math TeX Gyre&quot;/&gt;&lt;wx:font wx:val=&quot;DejaVu Math TeX Gyre&quot;/&gt;&lt;w:i/&gt;&lt;/w:rPr&gt;&lt;m:t&gt;6&lt;/m:t&gt;&lt;/m:r&gt;&lt;/m:sup&gt;&lt;/m:sSup&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27" chromakey="#FFFFFF" o:title=""/>
            <o:lock v:ext="edit" aspectratio="t"/>
            <w10:wrap type="none"/>
            <w10:anchorlock/>
          </v:shape>
        </w:pict>
      </w:r>
      <w:r>
        <w:rPr>
          <w:rFonts w:hint="default" w:ascii="原版宋体" w:hAnsi="原版宋体" w:eastAsia="宋体" w:cs="Times New Roman"/>
          <w:kern w:val="0"/>
          <w:szCs w:val="21"/>
        </w:rPr>
        <w:fldChar w:fldCharType="end"/>
      </w:r>
      <w:r>
        <w:rPr>
          <w:rFonts w:hint="default" w:ascii="原版宋体" w:hAnsi="原版宋体" w:eastAsia="宋体" w:cs="Times New Roman"/>
          <w:kern w:val="0"/>
          <w:szCs w:val="21"/>
        </w:rPr>
        <w:t>×100</w:t>
      </w:r>
    </w:p>
    <w:p>
      <w:pPr>
        <w:numPr>
          <w:ilvl w:val="1"/>
          <w:numId w:val="0"/>
        </w:numPr>
        <w:spacing w:line="440" w:lineRule="exact"/>
        <w:ind w:firstLine="48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式中：X——样品中总三萜的含量，单位为百分号（%）</w:t>
      </w:r>
    </w:p>
    <w:p>
      <w:pPr>
        <w:numPr>
          <w:ilvl w:val="1"/>
          <w:numId w:val="0"/>
        </w:numPr>
        <w:spacing w:line="440" w:lineRule="exact"/>
        <w:ind w:firstLine="1050" w:firstLineChars="5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m</w:t>
      </w:r>
      <w:r>
        <w:rPr>
          <w:rFonts w:hint="default" w:ascii="原版宋体" w:hAnsi="原版宋体" w:eastAsia="宋体" w:cs="Times New Roman"/>
          <w:kern w:val="0"/>
          <w:szCs w:val="21"/>
          <w:vertAlign w:val="subscript"/>
        </w:rPr>
        <w:t>1</w:t>
      </w:r>
      <w:r>
        <w:rPr>
          <w:rFonts w:hint="default" w:ascii="原版宋体" w:hAnsi="原版宋体" w:eastAsia="宋体" w:cs="Times New Roman"/>
          <w:kern w:val="0"/>
          <w:szCs w:val="21"/>
        </w:rPr>
        <w:t>——从标准曲线上查的样品反应液的总三萜的量（以齐墩果酸计），单位为微克（µg）</w:t>
      </w:r>
    </w:p>
    <w:p>
      <w:pPr>
        <w:numPr>
          <w:ilvl w:val="1"/>
          <w:numId w:val="0"/>
        </w:numPr>
        <w:spacing w:line="440" w:lineRule="exact"/>
        <w:ind w:firstLine="1050" w:firstLineChars="5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V</w:t>
      </w:r>
      <w:r>
        <w:rPr>
          <w:rFonts w:hint="default" w:ascii="原版宋体" w:hAnsi="原版宋体" w:eastAsia="宋体" w:cs="Times New Roman"/>
          <w:kern w:val="0"/>
          <w:szCs w:val="21"/>
          <w:vertAlign w:val="subscript"/>
        </w:rPr>
        <w:t>1</w:t>
      </w:r>
      <w:r>
        <w:rPr>
          <w:rFonts w:hint="default" w:ascii="原版宋体" w:hAnsi="原版宋体" w:eastAsia="宋体" w:cs="Times New Roman"/>
          <w:kern w:val="0"/>
          <w:szCs w:val="21"/>
        </w:rPr>
        <w:t>——提取时准确加入的无水乙醇体积，单位为毫升（mL）</w:t>
      </w:r>
    </w:p>
    <w:p>
      <w:pPr>
        <w:numPr>
          <w:ilvl w:val="1"/>
          <w:numId w:val="0"/>
        </w:numPr>
        <w:spacing w:line="440" w:lineRule="exact"/>
        <w:ind w:firstLine="1050" w:firstLineChars="5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f——样品溶液稀释倍数</w:t>
      </w:r>
    </w:p>
    <w:p>
      <w:pPr>
        <w:numPr>
          <w:ilvl w:val="1"/>
          <w:numId w:val="0"/>
        </w:numPr>
        <w:spacing w:line="440" w:lineRule="exact"/>
        <w:ind w:firstLine="1050" w:firstLineChars="5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m</w:t>
      </w:r>
      <w:r>
        <w:rPr>
          <w:rFonts w:hint="default" w:ascii="原版宋体" w:hAnsi="原版宋体" w:eastAsia="宋体" w:cs="Times New Roman"/>
          <w:kern w:val="0"/>
          <w:szCs w:val="21"/>
          <w:vertAlign w:val="subscript"/>
        </w:rPr>
        <w:t>2</w:t>
      </w:r>
      <w:r>
        <w:rPr>
          <w:rFonts w:hint="default" w:ascii="原版宋体" w:hAnsi="原版宋体" w:eastAsia="宋体" w:cs="Times New Roman"/>
          <w:kern w:val="0"/>
          <w:szCs w:val="21"/>
        </w:rPr>
        <w:t>——样品的质量，单位为克（g）</w:t>
      </w:r>
    </w:p>
    <w:p>
      <w:pPr>
        <w:numPr>
          <w:ilvl w:val="1"/>
          <w:numId w:val="0"/>
        </w:numPr>
        <w:spacing w:line="440" w:lineRule="exact"/>
        <w:ind w:firstLine="1050" w:firstLineChars="5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V</w:t>
      </w:r>
      <w:r>
        <w:rPr>
          <w:rFonts w:hint="default" w:ascii="原版宋体" w:hAnsi="原版宋体" w:eastAsia="宋体" w:cs="Times New Roman"/>
          <w:kern w:val="0"/>
          <w:szCs w:val="21"/>
          <w:vertAlign w:val="subscript"/>
        </w:rPr>
        <w:t>2</w:t>
      </w:r>
      <w:r>
        <w:rPr>
          <w:rFonts w:hint="default" w:ascii="原版宋体" w:hAnsi="原版宋体" w:eastAsia="宋体" w:cs="Times New Roman"/>
          <w:kern w:val="0"/>
          <w:szCs w:val="21"/>
        </w:rPr>
        <w:t>——比色测定时移取的样品提取液的体积，单位为毫升（mL）</w:t>
      </w:r>
    </w:p>
    <w:p>
      <w:pPr>
        <w:numPr>
          <w:ilvl w:val="1"/>
          <w:numId w:val="0"/>
        </w:numPr>
        <w:spacing w:line="440" w:lineRule="exact"/>
        <w:ind w:firstLine="1050" w:firstLineChars="5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10</w:t>
      </w:r>
      <w:r>
        <w:rPr>
          <w:rFonts w:hint="default" w:ascii="原版宋体" w:hAnsi="原版宋体" w:eastAsia="宋体" w:cs="Times New Roman"/>
          <w:kern w:val="0"/>
          <w:szCs w:val="21"/>
          <w:vertAlign w:val="superscript"/>
        </w:rPr>
        <w:t>6</w:t>
      </w:r>
      <w:r>
        <w:rPr>
          <w:rFonts w:hint="default" w:ascii="原版宋体" w:hAnsi="原版宋体" w:eastAsia="宋体" w:cs="Times New Roman"/>
          <w:kern w:val="0"/>
          <w:szCs w:val="21"/>
        </w:rPr>
        <w:t>——克换算成毫克的换算系数</w:t>
      </w:r>
    </w:p>
    <w:p>
      <w:pPr>
        <w:numPr>
          <w:ilvl w:val="1"/>
          <w:numId w:val="0"/>
        </w:numPr>
        <w:spacing w:line="440" w:lineRule="exact"/>
        <w:ind w:firstLine="48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总三萜的测定结果以2次测定结果的算数平均值表示，测定结果小数点后位数的保留与方法检出限一致，最多保留3位有效数字。</w:t>
      </w:r>
    </w:p>
    <w:p>
      <w:pPr>
        <w:numPr>
          <w:ilvl w:val="255"/>
          <w:numId w:val="0"/>
        </w:numPr>
        <w:spacing w:line="440" w:lineRule="exact"/>
        <w:ind w:firstLine="420" w:firstLineChars="200"/>
        <w:jc w:val="left"/>
        <w:outlineLvl w:val="2"/>
        <w:rPr>
          <w:rFonts w:ascii="原版宋体" w:hAnsi="原版宋体" w:eastAsia="宋体" w:cs="Times New Roman"/>
          <w:bCs/>
          <w:kern w:val="0"/>
          <w:szCs w:val="21"/>
        </w:rPr>
      </w:pPr>
      <w:r>
        <w:rPr>
          <w:rFonts w:hint="default" w:ascii="原版宋体" w:hAnsi="原版宋体" w:eastAsia="黑体" w:cs="Times New Roman"/>
          <w:bCs/>
          <w:kern w:val="0"/>
          <w:szCs w:val="21"/>
        </w:rPr>
        <w:t>6.重复性</w:t>
      </w:r>
    </w:p>
    <w:p>
      <w:pPr>
        <w:numPr>
          <w:ilvl w:val="1"/>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宋体" w:cs="Times New Roman"/>
          <w:kern w:val="0"/>
          <w:szCs w:val="21"/>
        </w:rPr>
        <w:t>在重复性条件下获得2次独立测试结果的绝对差值不得超过算术平均值的10%。</w:t>
      </w:r>
    </w:p>
    <w:p>
      <w:pPr>
        <w:numPr>
          <w:ilvl w:val="255"/>
          <w:numId w:val="0"/>
        </w:numPr>
        <w:spacing w:line="440" w:lineRule="exact"/>
        <w:jc w:val="left"/>
        <w:rPr>
          <w:rFonts w:ascii="原版宋体" w:hAnsi="原版宋体" w:eastAsia="宋体" w:cs="Times New Roman"/>
          <w:b/>
          <w:bCs/>
          <w:kern w:val="0"/>
          <w:szCs w:val="21"/>
        </w:rPr>
      </w:pPr>
      <w:r>
        <w:rPr>
          <w:rFonts w:hint="default" w:ascii="原版宋体" w:hAnsi="原版宋体" w:eastAsia="宋体" w:cs="Times New Roman"/>
          <w:b/>
          <w:bCs/>
          <w:kern w:val="0"/>
          <w:szCs w:val="21"/>
        </w:rPr>
        <w:br w:type="page"/>
      </w:r>
    </w:p>
    <w:p>
      <w:pPr>
        <w:spacing w:line="440" w:lineRule="exact"/>
        <w:ind w:right="210"/>
        <w:jc w:val="right"/>
        <w:rPr>
          <w:rFonts w:ascii="原版宋体" w:hAnsi="原版宋体" w:eastAsia="宋体" w:cs="Times New Roman"/>
          <w:color w:val="000000"/>
          <w:kern w:val="1"/>
          <w:szCs w:val="21"/>
        </w:rPr>
      </w:pPr>
    </w:p>
    <w:p>
      <w:pPr>
        <w:numPr>
          <w:ilvl w:val="255"/>
          <w:numId w:val="0"/>
        </w:numPr>
        <w:spacing w:line="440" w:lineRule="exact"/>
        <w:jc w:val="center"/>
        <w:rPr>
          <w:rFonts w:ascii="原版宋体" w:hAnsi="原版宋体" w:eastAsia="宋体" w:cs="Times New Roman"/>
          <w:b/>
          <w:bCs/>
          <w:kern w:val="0"/>
          <w:szCs w:val="21"/>
        </w:rPr>
      </w:pPr>
      <w:r>
        <w:rPr>
          <w:rFonts w:hint="default" w:ascii="原版宋体" w:hAnsi="原版宋体" w:eastAsia="宋体" w:cs="Times New Roman"/>
          <w:b/>
          <w:bCs/>
          <w:kern w:val="0"/>
          <w:szCs w:val="21"/>
        </w:rPr>
        <w:t>附录B</w:t>
      </w:r>
    </w:p>
    <w:p>
      <w:pPr>
        <w:numPr>
          <w:ilvl w:val="1"/>
          <w:numId w:val="0"/>
        </w:numPr>
        <w:spacing w:line="440" w:lineRule="exact"/>
        <w:jc w:val="center"/>
        <w:outlineLvl w:val="2"/>
        <w:rPr>
          <w:rFonts w:ascii="原版宋体" w:hAnsi="原版宋体" w:eastAsia="宋体" w:cs="Times New Roman"/>
          <w:b/>
          <w:bCs/>
          <w:kern w:val="0"/>
          <w:szCs w:val="21"/>
        </w:rPr>
      </w:pPr>
    </w:p>
    <w:p>
      <w:pPr>
        <w:numPr>
          <w:ilvl w:val="255"/>
          <w:numId w:val="0"/>
        </w:numPr>
        <w:spacing w:line="440" w:lineRule="exact"/>
        <w:ind w:firstLine="420" w:firstLineChars="200"/>
        <w:jc w:val="left"/>
        <w:outlineLvl w:val="2"/>
        <w:rPr>
          <w:rFonts w:ascii="原版宋体" w:hAnsi="原版宋体" w:eastAsia="宋体" w:cs="Times New Roman"/>
          <w:kern w:val="0"/>
          <w:szCs w:val="21"/>
        </w:rPr>
      </w:pPr>
      <w:r>
        <w:rPr>
          <w:rFonts w:hint="default" w:ascii="原版宋体" w:hAnsi="原版宋体" w:eastAsia="黑体" w:cs="Times New Roman"/>
          <w:kern w:val="0"/>
          <w:szCs w:val="21"/>
        </w:rPr>
        <w:t>1.仪器与材料</w:t>
      </w:r>
      <w:r>
        <w:rPr>
          <w:rFonts w:hint="default" w:ascii="原版宋体" w:hAnsi="原版宋体" w:eastAsia="宋体" w:cs="Times New Roman"/>
          <w:kern w:val="0"/>
          <w:szCs w:val="21"/>
        </w:rPr>
        <w:t xml:space="preserve"> </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color w:val="000000"/>
          <w:kern w:val="0"/>
          <w:szCs w:val="21"/>
        </w:rPr>
        <w:t>1.1</w:t>
      </w:r>
      <w:r>
        <w:rPr>
          <w:rFonts w:hint="default" w:ascii="原版宋体" w:hAnsi="原版宋体" w:eastAsia="宋体" w:cs="Times New Roman"/>
          <w:kern w:val="0"/>
          <w:szCs w:val="21"/>
        </w:rPr>
        <w:t>仪器 高效液相色谱仪系统，数控超声波清洗器，紫外可见分光光度计，分析天平。</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1.2材料 茯苓酸（质量分数≥98%）对照品，乙腈，甲醇（色谱纯），甲酸（分析纯），超纯水。</w:t>
      </w:r>
    </w:p>
    <w:p>
      <w:pPr>
        <w:numPr>
          <w:ilvl w:val="255"/>
          <w:numId w:val="0"/>
        </w:num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黑体" w:cs="Times New Roman"/>
          <w:kern w:val="0"/>
          <w:szCs w:val="21"/>
        </w:rPr>
        <w:t>2.检测方法</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2.1色谱条件 色谱柱： C18柱（150 mm× 4.6 mm，5μm）；流动相：乙腈-0.2%甲酸溶液（76∶24），流速：1.0 mL/min；柱温：32℃；检测波长：222 nm；进样量：20μL。</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2.2对照品溶液的制备 精密称取对照品茯苓酸5.10 mg至25 mL量瓶，加甲醇溶解，配成每1 mL含有茯苓酸0.204 mg对照品溶液。</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2.3供试品溶液的制备 取茯苓粉末（过60目筛） 1g，精密称定，移入50 mL具塞锥形瓶中后，加入95%甲醇20 mL，称定质量，轻微振摇使粉末充分分散。于40 ℃超声（360 W，40 kHz）处理30 min，冷却至室温，再称定质量，用甲醇补足减失的质量，吸取上清液，滤过，即得。</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2.4线性关系考察</w:t>
      </w:r>
      <w:r>
        <w:rPr>
          <w:rFonts w:hint="default" w:ascii="原版宋体" w:hAnsi="原版宋体" w:eastAsia="宋体" w:cs="Times New Roman"/>
          <w:b/>
          <w:bCs/>
          <w:kern w:val="0"/>
          <w:szCs w:val="21"/>
        </w:rPr>
        <w:t xml:space="preserve"> </w:t>
      </w:r>
      <w:r>
        <w:rPr>
          <w:rFonts w:hint="default" w:ascii="原版宋体" w:hAnsi="原版宋体" w:eastAsia="宋体" w:cs="Times New Roman"/>
          <w:kern w:val="0"/>
          <w:szCs w:val="21"/>
        </w:rPr>
        <w:t>分别精密吸取混合对照品溶液0.025、0.05、0.1、0.25、0.5、1.0 mL，用甲醇定容至1.0 mL，得到系列浓度的混合对照品溶液。分别吸取上述混合对照品溶液20 μL进样，按上述色谱条件进样测定，记录峰面积，以峰面积值为纵坐标，对照品进样浓度为横坐标，进行线性回归。</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2.5精密度试验 取同一份混合对照品溶液，于同1 d内连续重复进样6次，每次 20 μL，测得茯苓酸的峰面积RSD（n=6）。再取同一份混合对照品溶液，按“2.1”项下色谱条件连续3 d重复进样2次，每次20 μL，测得茯苓酸的峰面积RSD。</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2.6重复性试验</w:t>
      </w:r>
      <w:r>
        <w:rPr>
          <w:rFonts w:hint="default" w:ascii="原版宋体" w:hAnsi="原版宋体" w:eastAsia="宋体" w:cs="Times New Roman"/>
          <w:b/>
          <w:bCs/>
          <w:kern w:val="0"/>
          <w:szCs w:val="21"/>
        </w:rPr>
        <w:t xml:space="preserve"> </w:t>
      </w:r>
      <w:r>
        <w:rPr>
          <w:rFonts w:hint="default" w:ascii="原版宋体" w:hAnsi="原版宋体" w:eastAsia="宋体" w:cs="Times New Roman"/>
          <w:kern w:val="0"/>
          <w:szCs w:val="21"/>
        </w:rPr>
        <w:t>取同一样品6份，按“2.3”项下方法制备供试品溶液，进样测定，计算茯苓酸含量的RSD。</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2.7稳定性试验</w:t>
      </w:r>
      <w:r>
        <w:rPr>
          <w:rFonts w:hint="default" w:ascii="原版宋体" w:hAnsi="原版宋体" w:eastAsia="宋体" w:cs="Times New Roman"/>
          <w:b/>
          <w:bCs/>
          <w:kern w:val="0"/>
          <w:szCs w:val="21"/>
        </w:rPr>
        <w:t xml:space="preserve"> </w:t>
      </w:r>
      <w:r>
        <w:rPr>
          <w:rFonts w:hint="default" w:ascii="原版宋体" w:hAnsi="原版宋体" w:eastAsia="宋体" w:cs="Times New Roman"/>
          <w:kern w:val="0"/>
          <w:szCs w:val="21"/>
        </w:rPr>
        <w:t>取同一供试品溶液，分别于0、2、4、6、8、12h，在“2.1”项下色谱条件测定，并记录峰面积。</w:t>
      </w:r>
    </w:p>
    <w:p>
      <w:pPr>
        <w:spacing w:line="440" w:lineRule="exact"/>
        <w:ind w:firstLine="420" w:firstLineChars="200"/>
        <w:jc w:val="left"/>
        <w:rPr>
          <w:rFonts w:ascii="原版宋体" w:hAnsi="原版宋体" w:eastAsia="宋体" w:cs="Times New Roman"/>
          <w:kern w:val="0"/>
          <w:szCs w:val="21"/>
        </w:rPr>
      </w:pPr>
      <w:r>
        <w:rPr>
          <w:rFonts w:hint="default" w:ascii="原版宋体" w:hAnsi="原版宋体" w:eastAsia="宋体" w:cs="Times New Roman"/>
          <w:kern w:val="0"/>
          <w:szCs w:val="21"/>
        </w:rPr>
        <w:t>2.8样品含量测定 称取茯苓粉末1.0g，按“2.3”项下操作制备样品溶液，进样20 μL，在上述色谱条件下平行测定3次，计算样品中茯苓酸的含量。</w:t>
      </w:r>
    </w:p>
    <w:p>
      <w:pPr>
        <w:spacing w:line="440" w:lineRule="exact"/>
        <w:ind w:firstLine="630" w:firstLineChars="300"/>
        <w:jc w:val="left"/>
        <w:rPr>
          <w:rFonts w:ascii="原版宋体" w:hAnsi="原版宋体" w:eastAsia="宋体" w:cs="Times New Roman"/>
          <w:color w:val="000000"/>
          <w:kern w:val="0"/>
          <w:szCs w:val="21"/>
          <w:lang w:bidi="zh-TW"/>
        </w:rPr>
      </w:pPr>
    </w:p>
    <w:p>
      <w:pPr>
        <w:spacing w:line="440" w:lineRule="exact"/>
        <w:ind w:firstLine="960" w:firstLineChars="300"/>
        <w:jc w:val="left"/>
        <w:rPr>
          <w:rFonts w:ascii="原版宋体" w:hAnsi="原版宋体" w:eastAsia="仿宋_GB2312" w:cs="Times New Roman"/>
          <w:color w:val="000000"/>
          <w:kern w:val="0"/>
          <w:sz w:val="32"/>
          <w:szCs w:val="32"/>
          <w:lang w:bidi="zh-TW"/>
        </w:rPr>
      </w:pPr>
      <w:r>
        <w:rPr>
          <w:rFonts w:ascii="原版宋体" w:hAnsi="原版宋体" w:eastAsia="Times New Roman" w:cs="Times New Roman"/>
          <w:color w:val="000000"/>
          <w:kern w:val="0"/>
          <w:sz w:val="32"/>
          <w:szCs w:val="24"/>
        </w:rPr>
        <mc:AlternateContent>
          <mc:Choice Requires="wps">
            <w:drawing>
              <wp:anchor distT="0" distB="0" distL="114300" distR="114300" simplePos="0" relativeHeight="251663360" behindDoc="0" locked="0" layoutInCell="1" allowOverlap="1">
                <wp:simplePos x="0" y="0"/>
                <wp:positionH relativeFrom="column">
                  <wp:posOffset>1475105</wp:posOffset>
                </wp:positionH>
                <wp:positionV relativeFrom="paragraph">
                  <wp:posOffset>35560</wp:posOffset>
                </wp:positionV>
                <wp:extent cx="2852420" cy="10795"/>
                <wp:effectExtent l="0" t="4445" r="12700" b="7620"/>
                <wp:wrapNone/>
                <wp:docPr id="30" name="直接连接符 30"/>
                <wp:cNvGraphicFramePr/>
                <a:graphic xmlns:a="http://schemas.openxmlformats.org/drawingml/2006/main">
                  <a:graphicData uri="http://schemas.microsoft.com/office/word/2010/wordprocessingShape">
                    <wps:wsp>
                      <wps:cNvCnPr/>
                      <wps:spPr>
                        <a:xfrm flipV="1">
                          <a:off x="2482850" y="4265295"/>
                          <a:ext cx="2852420" cy="10795"/>
                        </a:xfrm>
                        <a:prstGeom prst="line">
                          <a:avLst/>
                        </a:prstGeom>
                        <a:noFill/>
                        <a:ln w="9525" cap="flat" cmpd="sng" algn="ctr">
                          <a:solidFill>
                            <a:sysClr val="windowText" lastClr="000000"/>
                          </a:solidFill>
                          <a:prstDash val="solid"/>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16.15pt;margin-top:2.8pt;height:0.85pt;width:224.6pt;z-index:251663360;mso-width-relative:page;mso-height-relative:page;" filled="f" stroked="t" coordsize="21600,21600" o:gfxdata="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BYAAABkcnMvUEsBAhQAFAAAAAgAh07iQGDcoCXVAAAABwEAAA8A&#10;AAAAAAAAAQAgAAAAOAAAAGRycy9kb3ducmV2LnhtbFBLAQIUABQAAAAIAIdO4kDL6AgCBAIAANgD&#10;AAAOAAAAAAAAAAEAIAAAADoBAABkcnMvZTJvRG9jLnhtbFBLBQYAAAAABgAGAFkBAACwBQAAAAA=&#10;">
                <v:fill on="f" focussize="0,0"/>
                <v:stroke color="#000000 [3204]" joinstyle="round"/>
                <v:imagedata o:title=""/>
                <o:lock v:ext="edit" aspectratio="f"/>
              </v:line>
            </w:pict>
          </mc:Fallback>
        </mc:AlternateContent>
      </w:r>
    </w:p>
    <w:p>
      <w:pPr>
        <w:spacing w:line="360" w:lineRule="auto"/>
        <w:ind w:right="840" w:rightChars="400"/>
        <w:jc w:val="left"/>
        <w:rPr>
          <w:rFonts w:ascii="原版宋体" w:hAnsi="原版宋体" w:eastAsia="仿宋_GB2312" w:cs="Times New Roman"/>
          <w:sz w:val="32"/>
        </w:rPr>
        <w:sectPr>
          <w:headerReference r:id="rId16" w:type="default"/>
          <w:footerReference r:id="rId17" w:type="default"/>
          <w:pgSz w:w="11906" w:h="16838"/>
          <w:pgMar w:top="1440" w:right="1800" w:bottom="1440" w:left="1800" w:header="851" w:footer="992" w:gutter="0"/>
          <w:pgNumType w:fmt="decimal"/>
          <w:cols w:space="720" w:num="1"/>
          <w:docGrid w:type="lines" w:linePitch="312" w:charSpace="0"/>
        </w:sectPr>
      </w:pPr>
    </w:p>
    <w:p>
      <w:pPr>
        <w:rPr>
          <w:rFonts w:hint="default" w:ascii="原版宋体" w:hAnsi="原版宋体" w:eastAsia="黑体" w:cs="Times New Roman"/>
          <w:sz w:val="28"/>
          <w:szCs w:val="28"/>
        </w:rPr>
      </w:pPr>
      <w:r>
        <w:rPr>
          <w:rFonts w:hint="default" w:ascii="原版宋体" w:hAnsi="原版宋体" w:eastAsia="黑体" w:cs="Times New Roman"/>
          <w:sz w:val="28"/>
          <w:szCs w:val="28"/>
        </w:rPr>
        <w:t>附件3</w:t>
      </w:r>
    </w:p>
    <w:p>
      <w:pPr>
        <w:ind w:firstLine="5460" w:firstLineChars="650"/>
        <w:rPr>
          <w:rFonts w:ascii="原版宋体" w:hAnsi="原版宋体" w:eastAsia="黑体" w:cs="Times New Roman"/>
          <w:sz w:val="84"/>
          <w:szCs w:val="84"/>
        </w:rPr>
      </w:pPr>
      <w:r>
        <w:rPr>
          <w:rFonts w:ascii="原版宋体" w:hAnsi="原版宋体" w:eastAsia="黑体" w:cs="Times New Roman"/>
          <w:sz w:val="84"/>
          <w:szCs w:val="84"/>
        </w:rPr>
        <w:t>DB</w:t>
      </w:r>
      <w:r>
        <w:rPr>
          <w:rFonts w:hint="eastAsia" w:ascii="原版宋体" w:hAnsi="原版宋体" w:eastAsia="黑体" w:cs="Times New Roman"/>
          <w:sz w:val="84"/>
          <w:szCs w:val="84"/>
        </w:rPr>
        <w:t xml:space="preserve">S  </w:t>
      </w:r>
      <w:r>
        <w:rPr>
          <w:rFonts w:ascii="原版宋体" w:hAnsi="原版宋体" w:eastAsia="黑体" w:cs="Times New Roman"/>
          <w:sz w:val="84"/>
          <w:szCs w:val="84"/>
        </w:rPr>
        <w:t>43</w:t>
      </w:r>
    </w:p>
    <w:p>
      <w:pPr>
        <w:spacing w:line="940" w:lineRule="exact"/>
        <w:ind w:firstLine="600" w:firstLineChars="150"/>
        <w:rPr>
          <w:rFonts w:ascii="原版宋体" w:hAnsi="原版宋体" w:eastAsia="黑体" w:cs="Times New Roman"/>
          <w:kern w:val="16"/>
          <w:sz w:val="40"/>
          <w:szCs w:val="40"/>
        </w:rPr>
      </w:pPr>
      <w:r>
        <w:rPr>
          <w:rFonts w:ascii="原版宋体" w:hAnsi="原版宋体" w:eastAsia="黑体" w:cs="Times New Roman"/>
          <w:kern w:val="16"/>
          <w:sz w:val="40"/>
          <w:szCs w:val="40"/>
        </w:rPr>
        <w:t>湖    南    省    地    方    标    准</w:t>
      </w:r>
    </w:p>
    <w:p>
      <w:pPr>
        <w:spacing w:line="300" w:lineRule="exact"/>
        <w:ind w:right="391" w:rightChars="186"/>
        <w:jc w:val="right"/>
        <w:rPr>
          <w:rFonts w:ascii="原版宋体" w:hAnsi="原版宋体" w:eastAsia="宋体" w:cs="Times New Roman"/>
        </w:rPr>
      </w:pPr>
      <w:r>
        <w:rPr>
          <w:rFonts w:ascii="原版宋体" w:hAnsi="原版宋体" w:eastAsia="宋体" w:cs="Times New Roman"/>
        </w:rPr>
        <w:t xml:space="preserve"> </w:t>
      </w:r>
    </w:p>
    <w:p>
      <w:pPr>
        <w:spacing w:line="300" w:lineRule="exact"/>
        <w:ind w:right="391" w:rightChars="186"/>
        <w:jc w:val="right"/>
        <w:outlineLvl w:val="0"/>
        <w:rPr>
          <w:rFonts w:ascii="原版宋体" w:hAnsi="原版宋体" w:eastAsia="黑体" w:cs="Times New Roman"/>
          <w:color w:val="000000"/>
          <w:sz w:val="28"/>
          <w:szCs w:val="28"/>
        </w:rPr>
      </w:pPr>
      <w:bookmarkStart w:id="2" w:name="_Toc17844"/>
      <w:r>
        <w:rPr>
          <w:rFonts w:ascii="原版宋体" w:hAnsi="原版宋体" w:eastAsia="黑体" w:cs="Times New Roman"/>
          <w:sz w:val="28"/>
          <w:szCs w:val="28"/>
        </w:rPr>
        <w:t>DB</w:t>
      </w:r>
      <w:r>
        <w:rPr>
          <w:rFonts w:hint="eastAsia" w:ascii="原版宋体" w:hAnsi="原版宋体" w:eastAsia="黑体" w:cs="Times New Roman"/>
          <w:sz w:val="28"/>
          <w:szCs w:val="28"/>
        </w:rPr>
        <w:t>S</w:t>
      </w:r>
      <w:r>
        <w:rPr>
          <w:rFonts w:ascii="原版宋体" w:hAnsi="原版宋体" w:eastAsia="黑体" w:cs="Times New Roman"/>
          <w:sz w:val="28"/>
          <w:szCs w:val="28"/>
        </w:rPr>
        <w:t>43</w:t>
      </w:r>
      <w:r>
        <w:rPr>
          <w:rFonts w:hint="eastAsia" w:ascii="原版宋体" w:hAnsi="原版宋体" w:eastAsia="黑体" w:cs="Times New Roman"/>
          <w:sz w:val="28"/>
          <w:szCs w:val="28"/>
        </w:rPr>
        <w:t>/ 015</w:t>
      </w:r>
      <w:r>
        <w:rPr>
          <w:rFonts w:ascii="原版宋体" w:hAnsi="原版宋体" w:eastAsia="黑体" w:cs="Times New Roman"/>
          <w:sz w:val="28"/>
          <w:szCs w:val="28"/>
        </w:rPr>
        <w:t xml:space="preserve"> </w:t>
      </w:r>
      <w:r>
        <w:rPr>
          <w:rFonts w:ascii="原版宋体" w:hAnsi="原版宋体" w:eastAsia="黑体" w:cs="Times New Roman"/>
          <w:color w:val="000000"/>
          <w:sz w:val="28"/>
          <w:szCs w:val="28"/>
        </w:rPr>
        <w:t>-</w:t>
      </w:r>
      <w:r>
        <w:rPr>
          <w:rFonts w:hint="eastAsia" w:ascii="原版宋体" w:hAnsi="原版宋体" w:eastAsia="黑体" w:cs="Times New Roman"/>
          <w:color w:val="000000"/>
          <w:sz w:val="28"/>
          <w:szCs w:val="28"/>
        </w:rPr>
        <w:t>2022</w:t>
      </w:r>
      <w:bookmarkEnd w:id="2"/>
    </w:p>
    <w:p>
      <w:pPr>
        <w:rPr>
          <w:rFonts w:ascii="原版宋体" w:hAnsi="原版宋体" w:eastAsia="宋体" w:cs="Times New Roman"/>
          <w:szCs w:val="21"/>
        </w:rPr>
      </w:pPr>
    </w:p>
    <w:p>
      <w:pPr>
        <w:widowControl/>
        <w:numPr>
          <w:ilvl w:val="0"/>
          <w:numId w:val="4"/>
        </w:numPr>
        <w:jc w:val="left"/>
        <w:rPr>
          <w:rFonts w:ascii="原版宋体" w:hAnsi="原版宋体" w:eastAsia="宋体" w:cs="Times New Roman"/>
          <w:szCs w:val="21"/>
        </w:rPr>
      </w:pPr>
      <w:r>
        <w:rPr>
          <w:rFonts w:ascii="原版宋体" w:hAnsi="原版宋体" w:eastAsia="宋体" w:cs="Times New Roman"/>
          <w:szCs w:val="21"/>
        </w:rPr>
        <w:drawing>
          <wp:inline distT="0" distB="0" distL="114300" distR="114300">
            <wp:extent cx="6047740" cy="19050"/>
            <wp:effectExtent l="0" t="0" r="0" b="0"/>
            <wp:docPr id="40" name="图片 3" descr="C:\Users\X58\AppData\Local\Temp\ksohtml\wps7FE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descr="C:\Users\X58\AppData\Local\Temp\ksohtml\wps7FED.tmp.png"/>
                    <pic:cNvPicPr>
                      <a:picLocks noChangeAspect="1"/>
                    </pic:cNvPicPr>
                  </pic:nvPicPr>
                  <pic:blipFill>
                    <a:blip r:embed="rId28"/>
                    <a:stretch>
                      <a:fillRect/>
                    </a:stretch>
                  </pic:blipFill>
                  <pic:spPr>
                    <a:xfrm>
                      <a:off x="0" y="0"/>
                      <a:ext cx="6047740" cy="19050"/>
                    </a:xfrm>
                    <a:prstGeom prst="rect">
                      <a:avLst/>
                    </a:prstGeom>
                    <a:noFill/>
                    <a:ln>
                      <a:noFill/>
                    </a:ln>
                  </pic:spPr>
                </pic:pic>
              </a:graphicData>
            </a:graphic>
          </wp:inline>
        </w:drawing>
      </w:r>
    </w:p>
    <w:p>
      <w:pPr>
        <w:widowControl/>
        <w:numPr>
          <w:ilvl w:val="0"/>
          <w:numId w:val="4"/>
        </w:numPr>
        <w:jc w:val="left"/>
        <w:rPr>
          <w:rFonts w:ascii="原版宋体" w:hAnsi="原版宋体" w:eastAsia="宋体" w:cs="Times New Roman"/>
          <w:szCs w:val="21"/>
        </w:rPr>
      </w:pPr>
    </w:p>
    <w:p>
      <w:pPr>
        <w:rPr>
          <w:rFonts w:ascii="原版宋体" w:hAnsi="原版宋体" w:eastAsia="宋体" w:cs="Times New Roman"/>
          <w:szCs w:val="21"/>
        </w:rPr>
      </w:pPr>
    </w:p>
    <w:p>
      <w:pPr>
        <w:rPr>
          <w:rFonts w:ascii="原版宋体" w:hAnsi="原版宋体" w:eastAsia="宋体" w:cs="Times New Roman"/>
          <w:szCs w:val="21"/>
        </w:rPr>
      </w:pPr>
    </w:p>
    <w:p>
      <w:pPr>
        <w:rPr>
          <w:rFonts w:ascii="原版宋体" w:hAnsi="原版宋体" w:eastAsia="宋体" w:cs="Times New Roman"/>
          <w:szCs w:val="21"/>
        </w:rPr>
      </w:pPr>
    </w:p>
    <w:p>
      <w:pPr>
        <w:rPr>
          <w:rFonts w:ascii="原版宋体" w:hAnsi="原版宋体" w:eastAsia="宋体" w:cs="Times New Roman"/>
          <w:szCs w:val="21"/>
        </w:rPr>
      </w:pPr>
    </w:p>
    <w:p>
      <w:pPr>
        <w:rPr>
          <w:rFonts w:ascii="原版宋体" w:hAnsi="原版宋体" w:eastAsia="宋体" w:cs="Times New Roman"/>
          <w:szCs w:val="21"/>
        </w:rPr>
      </w:pPr>
    </w:p>
    <w:p>
      <w:pPr>
        <w:rPr>
          <w:rFonts w:ascii="原版宋体" w:hAnsi="原版宋体" w:eastAsia="宋体" w:cs="Times New Roman"/>
          <w:szCs w:val="21"/>
        </w:rPr>
      </w:pPr>
    </w:p>
    <w:p>
      <w:pPr>
        <w:autoSpaceDE w:val="0"/>
        <w:autoSpaceDN w:val="0"/>
        <w:spacing w:line="360" w:lineRule="auto"/>
        <w:jc w:val="center"/>
        <w:rPr>
          <w:rFonts w:ascii="原版宋体" w:hAnsi="原版宋体" w:eastAsia="黑体" w:cs="Times New Roman"/>
          <w:sz w:val="52"/>
          <w:szCs w:val="52"/>
        </w:rPr>
      </w:pPr>
      <w:r>
        <w:rPr>
          <w:rFonts w:hint="default" w:ascii="原版宋体" w:hAnsi="原版宋体" w:eastAsia="黑体" w:cs="Times New Roman"/>
          <w:sz w:val="52"/>
          <w:szCs w:val="52"/>
        </w:rPr>
        <w:t>食品安全地方标准</w:t>
      </w:r>
    </w:p>
    <w:p>
      <w:pPr>
        <w:autoSpaceDE w:val="0"/>
        <w:autoSpaceDN w:val="0"/>
        <w:spacing w:line="360" w:lineRule="auto"/>
        <w:jc w:val="center"/>
        <w:rPr>
          <w:rFonts w:ascii="原版宋体" w:hAnsi="原版宋体" w:eastAsia="黑体" w:cs="Times New Roman"/>
          <w:sz w:val="52"/>
          <w:szCs w:val="52"/>
        </w:rPr>
      </w:pPr>
      <w:r>
        <w:rPr>
          <w:rFonts w:hint="default" w:ascii="原版宋体" w:hAnsi="原版宋体" w:eastAsia="黑体" w:cs="Times New Roman"/>
          <w:sz w:val="52"/>
          <w:szCs w:val="52"/>
        </w:rPr>
        <w:t>中央厨房卫生规范</w:t>
      </w: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numPr>
          <w:ilvl w:val="0"/>
          <w:numId w:val="4"/>
        </w:numPr>
        <w:spacing w:line="360" w:lineRule="auto"/>
        <w:jc w:val="center"/>
        <w:rPr>
          <w:rFonts w:ascii="原版宋体" w:hAnsi="原版宋体"/>
        </w:rPr>
      </w:pPr>
    </w:p>
    <w:p>
      <w:pPr>
        <w:pStyle w:val="6"/>
        <w:spacing w:line="360" w:lineRule="auto"/>
        <w:rPr>
          <w:rFonts w:ascii="原版宋体" w:hAnsi="原版宋体"/>
        </w:rPr>
      </w:pPr>
    </w:p>
    <w:p>
      <w:pPr>
        <w:pStyle w:val="6"/>
        <w:rPr>
          <w:rFonts w:ascii="原版宋体" w:hAnsi="原版宋体"/>
        </w:rPr>
      </w:pPr>
    </w:p>
    <w:p>
      <w:pPr>
        <w:pStyle w:val="6"/>
        <w:rPr>
          <w:rFonts w:ascii="原版宋体" w:hAnsi="原版宋体"/>
        </w:rPr>
      </w:pPr>
    </w:p>
    <w:p>
      <w:pPr>
        <w:pStyle w:val="6"/>
        <w:rPr>
          <w:rFonts w:ascii="原版宋体" w:hAnsi="原版宋体"/>
        </w:rPr>
      </w:pPr>
    </w:p>
    <w:p>
      <w:pPr>
        <w:pStyle w:val="6"/>
        <w:rPr>
          <w:rFonts w:ascii="原版宋体" w:hAnsi="原版宋体"/>
        </w:rPr>
      </w:pPr>
    </w:p>
    <w:p>
      <w:pPr>
        <w:pStyle w:val="6"/>
        <w:rPr>
          <w:rFonts w:ascii="原版宋体" w:hAnsi="原版宋体"/>
        </w:rPr>
      </w:pPr>
    </w:p>
    <w:p>
      <w:pPr>
        <w:pStyle w:val="6"/>
        <w:rPr>
          <w:rFonts w:ascii="原版宋体" w:hAnsi="原版宋体"/>
        </w:rPr>
        <w:sectPr>
          <w:headerReference r:id="rId18" w:type="default"/>
          <w:footerReference r:id="rId19" w:type="default"/>
          <w:pgSz w:w="11907" w:h="16839"/>
          <w:pgMar w:top="1361" w:right="1361" w:bottom="1361" w:left="1361" w:header="720" w:footer="720" w:gutter="0"/>
          <w:pgNumType w:fmt="decimal"/>
          <w:cols w:space="720" w:num="1"/>
          <w:docGrid w:linePitch="286" w:charSpace="0"/>
        </w:sectPr>
      </w:pPr>
      <w:r>
        <w:rPr>
          <w:rFonts w:ascii="原版宋体" w:hAnsi="原版宋体" w:eastAsia="宋体" w:cs="Times New Roman"/>
          <w:szCs w:val="21"/>
        </w:rPr>
        <mc:AlternateContent>
          <mc:Choice Requires="wps">
            <w:drawing>
              <wp:anchor distT="0" distB="0" distL="114300" distR="114300" simplePos="0" relativeHeight="251668480" behindDoc="0" locked="0" layoutInCell="1" allowOverlap="1">
                <wp:simplePos x="0" y="0"/>
                <wp:positionH relativeFrom="column">
                  <wp:posOffset>1197610</wp:posOffset>
                </wp:positionH>
                <wp:positionV relativeFrom="paragraph">
                  <wp:posOffset>495300</wp:posOffset>
                </wp:positionV>
                <wp:extent cx="3406140" cy="36195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2647950" cy="361950"/>
                        </a:xfrm>
                        <a:prstGeom prst="rect">
                          <a:avLst/>
                        </a:prstGeom>
                        <a:noFill/>
                        <a:ln w="6350">
                          <a:noFill/>
                        </a:ln>
                        <a:effectLst/>
                      </wps:spPr>
                      <wps:txbx>
                        <w:txbxContent>
                          <w:p>
                            <w:pPr>
                              <w:pStyle w:val="6"/>
                              <w:spacing w:line="360" w:lineRule="auto"/>
                              <w:ind w:firstLine="561" w:firstLineChars="200"/>
                              <w:rPr>
                                <w:rFonts w:hAnsi="宋体"/>
                                <w:b/>
                                <w:bCs/>
                                <w:sz w:val="28"/>
                                <w:szCs w:val="28"/>
                              </w:rPr>
                            </w:pPr>
                            <w:r>
                              <w:rPr>
                                <w:rFonts w:hint="eastAsia" w:hAnsi="宋体"/>
                                <w:b/>
                                <w:bCs/>
                                <w:sz w:val="28"/>
                                <w:szCs w:val="28"/>
                              </w:rPr>
                              <w:t xml:space="preserve">湖南省卫生健康委员会  </w:t>
                            </w:r>
                            <w:r>
                              <w:rPr>
                                <w:rFonts w:hint="eastAsia" w:ascii="黑体" w:hAnsi="黑体" w:eastAsia="黑体"/>
                                <w:sz w:val="28"/>
                                <w:szCs w:val="28"/>
                              </w:rPr>
                              <w:t>发 布</w:t>
                            </w:r>
                          </w:p>
                          <w:p>
                            <w:pPr>
                              <w:rPr>
                                <w:rFonts w:ascii="Times New Roman" w:hAnsi="Times New Roman" w:eastAsia="宋体" w:cs="Times New Roman"/>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3pt;margin-top:39pt;height:28.5pt;width:268.2pt;z-index:251668480;mso-width-relative:page;mso-height-relative:page;" filled="f" stroked="f" coordsize="21600,21600" o:gfxdata="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NtyzktcAAAAK&#10;AQAADwAAAAAAAAABACAAAAA4AAAAZHJzL2Rvd25yZXYueG1sUEsBAhQAFAAAAAgAh07iQJ8I7DlA&#10;AgAAdgQAAA4AAAAAAAAAAQAgAAAAPAEAAGRycy9lMm9Eb2MueG1sUEsFBgAAAAAGAAYAWQEAAO4F&#10;AAAAAA==&#10;">
                <v:fill on="f" focussize="0,0"/>
                <v:stroke on="f" weight="0.5pt"/>
                <v:imagedata o:title=""/>
                <o:lock v:ext="edit" aspectratio="f"/>
                <v:textbox>
                  <w:txbxContent>
                    <w:p>
                      <w:pPr>
                        <w:pStyle w:val="6"/>
                        <w:spacing w:line="360" w:lineRule="auto"/>
                        <w:ind w:firstLine="561" w:firstLineChars="200"/>
                        <w:rPr>
                          <w:rFonts w:hAnsi="宋体"/>
                          <w:b/>
                          <w:bCs/>
                          <w:sz w:val="28"/>
                          <w:szCs w:val="28"/>
                        </w:rPr>
                      </w:pPr>
                      <w:r>
                        <w:rPr>
                          <w:rFonts w:hint="eastAsia" w:hAnsi="宋体"/>
                          <w:b/>
                          <w:bCs/>
                          <w:sz w:val="28"/>
                          <w:szCs w:val="28"/>
                        </w:rPr>
                        <w:t xml:space="preserve">湖南省卫生健康委员会  </w:t>
                      </w:r>
                      <w:r>
                        <w:rPr>
                          <w:rFonts w:hint="eastAsia" w:ascii="黑体" w:hAnsi="黑体" w:eastAsia="黑体"/>
                          <w:sz w:val="28"/>
                          <w:szCs w:val="28"/>
                        </w:rPr>
                        <w:t>发 布</w:t>
                      </w:r>
                    </w:p>
                    <w:p>
                      <w:pPr>
                        <w:rPr>
                          <w:rFonts w:ascii="Times New Roman" w:hAnsi="Times New Roman" w:eastAsia="宋体" w:cs="Times New Roman"/>
                          <w:szCs w:val="24"/>
                        </w:rPr>
                      </w:pPr>
                    </w:p>
                  </w:txbxContent>
                </v:textbox>
              </v:shape>
            </w:pict>
          </mc:Fallback>
        </mc:AlternateContent>
      </w:r>
      <w:r>
        <w:rPr>
          <w:rFonts w:ascii="原版宋体" w:hAnsi="原版宋体" w:eastAsia="宋体" w:cs="Times New Roman"/>
          <w:szCs w:val="21"/>
        </w:rPr>
        <mc:AlternateContent>
          <mc:Choice Requires="wps">
            <w:drawing>
              <wp:anchor distT="0" distB="0" distL="114300" distR="114300" simplePos="0" relativeHeight="251667456" behindDoc="0" locked="0" layoutInCell="1" allowOverlap="1">
                <wp:simplePos x="0" y="0"/>
                <wp:positionH relativeFrom="column">
                  <wp:posOffset>3209925</wp:posOffset>
                </wp:positionH>
                <wp:positionV relativeFrom="paragraph">
                  <wp:posOffset>20955</wp:posOffset>
                </wp:positionV>
                <wp:extent cx="2438400" cy="39052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2438400" cy="390525"/>
                        </a:xfrm>
                        <a:prstGeom prst="rect">
                          <a:avLst/>
                        </a:prstGeom>
                        <a:noFill/>
                        <a:ln w="6350">
                          <a:noFill/>
                        </a:ln>
                        <a:effectLst/>
                      </wps:spPr>
                      <wps:txbx>
                        <w:txbxContent>
                          <w:p>
                            <w:pPr>
                              <w:rPr>
                                <w:rFonts w:ascii="Times New Roman" w:hAnsi="Times New Roman" w:eastAsia="宋体" w:cs="Times New Roman"/>
                                <w:szCs w:val="24"/>
                              </w:rPr>
                            </w:pPr>
                            <w:r>
                              <w:rPr>
                                <w:rFonts w:hint="eastAsia" w:ascii="黑体" w:hAnsi="Times New Roman" w:eastAsia="黑体" w:cs="Times New Roman"/>
                                <w:sz w:val="28"/>
                                <w:szCs w:val="28"/>
                              </w:rPr>
                              <w:t xml:space="preserve"> </w:t>
                            </w:r>
                            <w:r>
                              <w:rPr>
                                <w:rFonts w:ascii="黑体" w:hAnsi="Times New Roman" w:eastAsia="黑体" w:cs="Times New Roman"/>
                                <w:sz w:val="28"/>
                                <w:szCs w:val="28"/>
                              </w:rPr>
                              <w:t>20</w:t>
                            </w:r>
                            <w:r>
                              <w:rPr>
                                <w:rFonts w:hint="eastAsia" w:ascii="黑体" w:hAnsi="Times New Roman" w:eastAsia="黑体" w:cs="Times New Roman"/>
                                <w:sz w:val="28"/>
                                <w:szCs w:val="28"/>
                              </w:rPr>
                              <w:t>23-0</w:t>
                            </w:r>
                            <w:r>
                              <w:rPr>
                                <w:rFonts w:hint="default" w:ascii="黑体" w:hAnsi="Times New Roman" w:eastAsia="黑体" w:cs="Times New Roman"/>
                                <w:sz w:val="28"/>
                                <w:szCs w:val="28"/>
                                <w:lang w:val="en"/>
                              </w:rPr>
                              <w:t>6</w:t>
                            </w:r>
                            <w:r>
                              <w:rPr>
                                <w:rFonts w:hint="eastAsia" w:ascii="黑体" w:hAnsi="Times New Roman" w:eastAsia="黑体" w:cs="Times New Roman"/>
                                <w:sz w:val="28"/>
                                <w:szCs w:val="28"/>
                              </w:rPr>
                              <w:t>-</w:t>
                            </w:r>
                            <w:r>
                              <w:rPr>
                                <w:rFonts w:hint="default" w:ascii="黑体" w:hAnsi="Times New Roman" w:eastAsia="黑体" w:cs="Times New Roman"/>
                                <w:sz w:val="28"/>
                                <w:szCs w:val="28"/>
                                <w:lang w:val="en"/>
                              </w:rPr>
                              <w:t>09</w:t>
                            </w:r>
                            <w:r>
                              <w:rPr>
                                <w:rFonts w:hint="eastAsia" w:ascii="黑体" w:hAnsi="Times New Roman" w:eastAsia="黑体" w:cs="Times New Roman"/>
                                <w:sz w:val="28"/>
                                <w:szCs w:val="28"/>
                              </w:rPr>
                              <w:t>实施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75pt;margin-top:1.65pt;height:30.75pt;width:192pt;z-index:251667456;mso-width-relative:page;mso-height-relative:page;" filled="f" stroked="f" coordsize="21600,21600" o:gfxdata="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Fpi72/Z&#10;AAAACAEAAA8AAAAAAAAAAQAgAAAAOAAAAGRycy9kb3ducmV2LnhtbFBLAQIUABQAAAAIAIdO4kD/&#10;1yx6QgIAAHYEAAAOAAAAAAAAAAEAIAAAAD4BAABkcnMvZTJvRG9jLnhtbFBLBQYAAAAABgAGAFkB&#10;AADyBQAAAAA=&#10;">
                <v:fill on="f" focussize="0,0"/>
                <v:stroke on="f" weight="0.5pt"/>
                <v:imagedata o:title=""/>
                <o:lock v:ext="edit" aspectratio="f"/>
                <v:textbox>
                  <w:txbxContent>
                    <w:p>
                      <w:pPr>
                        <w:rPr>
                          <w:rFonts w:ascii="Times New Roman" w:hAnsi="Times New Roman" w:eastAsia="宋体" w:cs="Times New Roman"/>
                          <w:szCs w:val="24"/>
                        </w:rPr>
                      </w:pPr>
                      <w:r>
                        <w:rPr>
                          <w:rFonts w:hint="eastAsia" w:ascii="黑体" w:hAnsi="Times New Roman" w:eastAsia="黑体" w:cs="Times New Roman"/>
                          <w:sz w:val="28"/>
                          <w:szCs w:val="28"/>
                        </w:rPr>
                        <w:t xml:space="preserve"> </w:t>
                      </w:r>
                      <w:r>
                        <w:rPr>
                          <w:rFonts w:ascii="黑体" w:hAnsi="Times New Roman" w:eastAsia="黑体" w:cs="Times New Roman"/>
                          <w:sz w:val="28"/>
                          <w:szCs w:val="28"/>
                        </w:rPr>
                        <w:t>20</w:t>
                      </w:r>
                      <w:r>
                        <w:rPr>
                          <w:rFonts w:hint="eastAsia" w:ascii="黑体" w:hAnsi="Times New Roman" w:eastAsia="黑体" w:cs="Times New Roman"/>
                          <w:sz w:val="28"/>
                          <w:szCs w:val="28"/>
                        </w:rPr>
                        <w:t>23-0</w:t>
                      </w:r>
                      <w:r>
                        <w:rPr>
                          <w:rFonts w:hint="default" w:ascii="黑体" w:hAnsi="Times New Roman" w:eastAsia="黑体" w:cs="Times New Roman"/>
                          <w:sz w:val="28"/>
                          <w:szCs w:val="28"/>
                          <w:lang w:val="en"/>
                        </w:rPr>
                        <w:t>6</w:t>
                      </w:r>
                      <w:r>
                        <w:rPr>
                          <w:rFonts w:hint="eastAsia" w:ascii="黑体" w:hAnsi="Times New Roman" w:eastAsia="黑体" w:cs="Times New Roman"/>
                          <w:sz w:val="28"/>
                          <w:szCs w:val="28"/>
                        </w:rPr>
                        <w:t>-</w:t>
                      </w:r>
                      <w:r>
                        <w:rPr>
                          <w:rFonts w:hint="default" w:ascii="黑体" w:hAnsi="Times New Roman" w:eastAsia="黑体" w:cs="Times New Roman"/>
                          <w:sz w:val="28"/>
                          <w:szCs w:val="28"/>
                          <w:lang w:val="en"/>
                        </w:rPr>
                        <w:t>09</w:t>
                      </w:r>
                      <w:r>
                        <w:rPr>
                          <w:rFonts w:hint="eastAsia" w:ascii="黑体" w:hAnsi="Times New Roman" w:eastAsia="黑体" w:cs="Times New Roman"/>
                          <w:sz w:val="28"/>
                          <w:szCs w:val="28"/>
                        </w:rPr>
                        <w:t>实施</w:t>
                      </w:r>
                    </w:p>
                  </w:txbxContent>
                </v:textbox>
              </v:shape>
            </w:pict>
          </mc:Fallback>
        </mc:AlternateContent>
      </w:r>
      <w:r>
        <w:rPr>
          <w:rFonts w:ascii="原版宋体" w:hAnsi="原版宋体" w:eastAsia="宋体" w:cs="Times New Roman"/>
          <w:szCs w:val="21"/>
        </w:rPr>
        <mc:AlternateContent>
          <mc:Choice Requires="wps">
            <w:drawing>
              <wp:anchor distT="0" distB="0" distL="114300" distR="114300" simplePos="0" relativeHeight="251666432" behindDoc="0" locked="0" layoutInCell="1" allowOverlap="1">
                <wp:simplePos x="0" y="0"/>
                <wp:positionH relativeFrom="column">
                  <wp:posOffset>19050</wp:posOffset>
                </wp:positionH>
                <wp:positionV relativeFrom="paragraph">
                  <wp:posOffset>40005</wp:posOffset>
                </wp:positionV>
                <wp:extent cx="2324100" cy="33337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2324100" cy="333375"/>
                        </a:xfrm>
                        <a:prstGeom prst="rect">
                          <a:avLst/>
                        </a:prstGeom>
                        <a:noFill/>
                        <a:ln w="6350">
                          <a:noFill/>
                        </a:ln>
                        <a:effectLst/>
                      </wps:spPr>
                      <wps:txbx>
                        <w:txbxContent>
                          <w:p>
                            <w:pPr>
                              <w:rPr>
                                <w:rFonts w:ascii="Times New Roman" w:hAnsi="Times New Roman" w:eastAsia="宋体" w:cs="Times New Roman"/>
                                <w:szCs w:val="24"/>
                              </w:rPr>
                            </w:pPr>
                            <w:r>
                              <w:rPr>
                                <w:rFonts w:hint="eastAsia" w:ascii="黑体" w:hAnsi="Times New Roman" w:eastAsia="黑体" w:cs="Times New Roman"/>
                                <w:sz w:val="28"/>
                                <w:szCs w:val="28"/>
                              </w:rPr>
                              <w:t>2</w:t>
                            </w:r>
                            <w:r>
                              <w:rPr>
                                <w:rFonts w:ascii="黑体" w:hAnsi="Times New Roman" w:eastAsia="黑体" w:cs="Times New Roman"/>
                                <w:sz w:val="28"/>
                                <w:szCs w:val="28"/>
                              </w:rPr>
                              <w:t>0</w:t>
                            </w:r>
                            <w:r>
                              <w:rPr>
                                <w:rFonts w:hint="eastAsia" w:ascii="黑体" w:hAnsi="Times New Roman" w:eastAsia="黑体" w:cs="Times New Roman"/>
                                <w:sz w:val="28"/>
                                <w:szCs w:val="28"/>
                              </w:rPr>
                              <w:t>22-1</w:t>
                            </w:r>
                            <w:r>
                              <w:rPr>
                                <w:rFonts w:hint="default" w:ascii="黑体" w:hAnsi="Times New Roman" w:eastAsia="黑体" w:cs="Times New Roman"/>
                                <w:sz w:val="28"/>
                                <w:szCs w:val="28"/>
                                <w:lang w:val="en"/>
                              </w:rPr>
                              <w:t>2</w:t>
                            </w:r>
                            <w:r>
                              <w:rPr>
                                <w:rFonts w:hint="eastAsia" w:ascii="黑体" w:hAnsi="Times New Roman" w:eastAsia="黑体" w:cs="Times New Roman"/>
                                <w:sz w:val="28"/>
                                <w:szCs w:val="28"/>
                              </w:rPr>
                              <w:t>-</w:t>
                            </w:r>
                            <w:r>
                              <w:rPr>
                                <w:rFonts w:hint="default" w:ascii="黑体" w:hAnsi="Times New Roman" w:eastAsia="黑体" w:cs="Times New Roman"/>
                                <w:sz w:val="28"/>
                                <w:szCs w:val="28"/>
                                <w:lang w:val="en"/>
                              </w:rPr>
                              <w:t>09</w:t>
                            </w:r>
                            <w:r>
                              <w:rPr>
                                <w:rFonts w:hint="eastAsia" w:ascii="黑体" w:hAnsi="黑体" w:eastAsia="黑体" w:cs="Times New Roman"/>
                                <w:sz w:val="28"/>
                                <w:szCs w:val="28"/>
                              </w:rPr>
                              <w:t>发布</w:t>
                            </w:r>
                            <w:r>
                              <w:rPr>
                                <w:rFonts w:hint="eastAsia" w:ascii="黑体" w:hAnsi="Times New Roman" w:eastAsia="黑体" w:cs="Times New Roman"/>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3.15pt;height:26.25pt;width:183pt;z-index:251666432;mso-width-relative:page;mso-height-relative:page;" filled="f" stroked="f" coordsize="21600,21600" o:gfxdata="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D+jPgj1wAA&#10;AAYBAAAPAAAAAAAAAAEAIAAAADgAAABkcnMvZG93bnJldi54bWxQSwECFAAUAAAACACHTuJAAk5Q&#10;dUICAAB2BAAADgAAAAAAAAABACAAAAA8AQAAZHJzL2Uyb0RvYy54bWxQSwUGAAAAAAYABgBZAQAA&#10;8AUAAAAA&#10;">
                <v:fill on="f" focussize="0,0"/>
                <v:stroke on="f" weight="0.5pt"/>
                <v:imagedata o:title=""/>
                <o:lock v:ext="edit" aspectratio="f"/>
                <v:textbox>
                  <w:txbxContent>
                    <w:p>
                      <w:pPr>
                        <w:rPr>
                          <w:rFonts w:ascii="Times New Roman" w:hAnsi="Times New Roman" w:eastAsia="宋体" w:cs="Times New Roman"/>
                          <w:szCs w:val="24"/>
                        </w:rPr>
                      </w:pPr>
                      <w:r>
                        <w:rPr>
                          <w:rFonts w:hint="eastAsia" w:ascii="黑体" w:hAnsi="Times New Roman" w:eastAsia="黑体" w:cs="Times New Roman"/>
                          <w:sz w:val="28"/>
                          <w:szCs w:val="28"/>
                        </w:rPr>
                        <w:t>2</w:t>
                      </w:r>
                      <w:r>
                        <w:rPr>
                          <w:rFonts w:ascii="黑体" w:hAnsi="Times New Roman" w:eastAsia="黑体" w:cs="Times New Roman"/>
                          <w:sz w:val="28"/>
                          <w:szCs w:val="28"/>
                        </w:rPr>
                        <w:t>0</w:t>
                      </w:r>
                      <w:r>
                        <w:rPr>
                          <w:rFonts w:hint="eastAsia" w:ascii="黑体" w:hAnsi="Times New Roman" w:eastAsia="黑体" w:cs="Times New Roman"/>
                          <w:sz w:val="28"/>
                          <w:szCs w:val="28"/>
                        </w:rPr>
                        <w:t>22-1</w:t>
                      </w:r>
                      <w:r>
                        <w:rPr>
                          <w:rFonts w:hint="default" w:ascii="黑体" w:hAnsi="Times New Roman" w:eastAsia="黑体" w:cs="Times New Roman"/>
                          <w:sz w:val="28"/>
                          <w:szCs w:val="28"/>
                          <w:lang w:val="en"/>
                        </w:rPr>
                        <w:t>2</w:t>
                      </w:r>
                      <w:r>
                        <w:rPr>
                          <w:rFonts w:hint="eastAsia" w:ascii="黑体" w:hAnsi="Times New Roman" w:eastAsia="黑体" w:cs="Times New Roman"/>
                          <w:sz w:val="28"/>
                          <w:szCs w:val="28"/>
                        </w:rPr>
                        <w:t>-</w:t>
                      </w:r>
                      <w:r>
                        <w:rPr>
                          <w:rFonts w:hint="default" w:ascii="黑体" w:hAnsi="Times New Roman" w:eastAsia="黑体" w:cs="Times New Roman"/>
                          <w:sz w:val="28"/>
                          <w:szCs w:val="28"/>
                          <w:lang w:val="en"/>
                        </w:rPr>
                        <w:t>09</w:t>
                      </w:r>
                      <w:r>
                        <w:rPr>
                          <w:rFonts w:hint="eastAsia" w:ascii="黑体" w:hAnsi="黑体" w:eastAsia="黑体" w:cs="Times New Roman"/>
                          <w:sz w:val="28"/>
                          <w:szCs w:val="28"/>
                        </w:rPr>
                        <w:t>发布</w:t>
                      </w:r>
                      <w:r>
                        <w:rPr>
                          <w:rFonts w:hint="eastAsia" w:ascii="黑体" w:hAnsi="Times New Roman" w:eastAsia="黑体" w:cs="Times New Roman"/>
                          <w:sz w:val="28"/>
                          <w:szCs w:val="28"/>
                        </w:rPr>
                        <w:t xml:space="preserve"> </w:t>
                      </w:r>
                    </w:p>
                  </w:txbxContent>
                </v:textbox>
              </v:shape>
            </w:pict>
          </mc:Fallback>
        </mc:AlternateContent>
      </w:r>
      <w:r>
        <w:rPr>
          <w:rFonts w:ascii="原版宋体" w:hAnsi="原版宋体" w:eastAsia="宋体" w:cs="Times New Roman"/>
          <w:szCs w:val="21"/>
        </w:rPr>
        <w:drawing>
          <wp:anchor distT="0" distB="0" distL="114300" distR="114300" simplePos="0" relativeHeight="251665408" behindDoc="0" locked="0" layoutInCell="1" allowOverlap="1">
            <wp:simplePos x="0" y="0"/>
            <wp:positionH relativeFrom="column">
              <wp:posOffset>0</wp:posOffset>
            </wp:positionH>
            <wp:positionV relativeFrom="paragraph">
              <wp:posOffset>360045</wp:posOffset>
            </wp:positionV>
            <wp:extent cx="5486400" cy="19050"/>
            <wp:effectExtent l="0" t="0" r="0" b="0"/>
            <wp:wrapNone/>
            <wp:docPr id="33" name="图片 5" descr="C:\Users\X58\AppData\Local\Temp\ksohtml\wps7FE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descr="C:\Users\X58\AppData\Local\Temp\ksohtml\wps7FEE.tmp.png"/>
                    <pic:cNvPicPr>
                      <a:picLocks noChangeAspect="1"/>
                    </pic:cNvPicPr>
                  </pic:nvPicPr>
                  <pic:blipFill>
                    <a:blip r:embed="rId29"/>
                    <a:stretch>
                      <a:fillRect/>
                    </a:stretch>
                  </pic:blipFill>
                  <pic:spPr>
                    <a:xfrm>
                      <a:off x="0" y="0"/>
                      <a:ext cx="5486400" cy="19050"/>
                    </a:xfrm>
                    <a:prstGeom prst="rect">
                      <a:avLst/>
                    </a:prstGeom>
                    <a:noFill/>
                    <a:ln>
                      <a:noFill/>
                    </a:ln>
                  </pic:spPr>
                </pic:pic>
              </a:graphicData>
            </a:graphic>
          </wp:anchor>
        </w:drawing>
      </w:r>
    </w:p>
    <w:p>
      <w:pPr>
        <w:pStyle w:val="25"/>
        <w:tabs>
          <w:tab w:val="left" w:pos="959"/>
        </w:tabs>
        <w:spacing w:before="850" w:after="680"/>
        <w:ind w:right="34"/>
        <w:outlineLvl w:val="0"/>
        <w:rPr>
          <w:rFonts w:ascii="原版宋体" w:hAnsi="原版宋体" w:cs="Times New Roman"/>
          <w:lang w:eastAsia="zh-CN"/>
        </w:rPr>
      </w:pPr>
      <w:bookmarkStart w:id="3" w:name="_Toc16465"/>
      <w:bookmarkStart w:id="4" w:name="_Toc496796553"/>
      <w:bookmarkStart w:id="5" w:name="_Toc496796578"/>
      <w:bookmarkStart w:id="6" w:name="_Toc501446785"/>
      <w:bookmarkStart w:id="7" w:name="_Toc503445389"/>
      <w:r>
        <w:rPr>
          <w:rFonts w:hint="default" w:ascii="原版宋体" w:hAnsi="原版宋体" w:cs="Times New Roman"/>
          <w:lang w:eastAsia="zh-CN"/>
        </w:rPr>
        <w:t>前    言</w:t>
      </w:r>
      <w:bookmarkEnd w:id="3"/>
    </w:p>
    <w:p>
      <w:pPr>
        <w:spacing w:line="324" w:lineRule="exact"/>
        <w:ind w:firstLine="420" w:firstLineChars="200"/>
        <w:rPr>
          <w:rFonts w:ascii="原版宋体" w:hAnsi="原版宋体" w:eastAsia="宋体" w:cs="Times New Roman"/>
          <w:color w:val="000000"/>
          <w:szCs w:val="24"/>
        </w:rPr>
      </w:pPr>
      <w:r>
        <w:rPr>
          <w:rFonts w:hint="default" w:ascii="原版宋体" w:hAnsi="原版宋体" w:eastAsia="宋体" w:cs="Times New Roman"/>
          <w:color w:val="000000"/>
          <w:szCs w:val="24"/>
        </w:rPr>
        <w:t>本文件按照GB/T 1.1—2020《标准化工作导则  第1部分：标准化文件的结构和起草规则》的规定起草。</w:t>
      </w:r>
    </w:p>
    <w:p>
      <w:pPr>
        <w:autoSpaceDE w:val="0"/>
        <w:autoSpaceDN w:val="0"/>
        <w:spacing w:line="324" w:lineRule="exact"/>
        <w:ind w:firstLine="420" w:firstLineChars="200"/>
        <w:rPr>
          <w:rFonts w:ascii="原版宋体" w:hAnsi="原版宋体" w:eastAsia="宋体" w:cs="Times New Roman"/>
        </w:rPr>
      </w:pPr>
      <w:r>
        <w:rPr>
          <w:rFonts w:hint="default" w:ascii="原版宋体" w:hAnsi="原版宋体" w:eastAsia="宋体" w:cs="Times New Roman"/>
          <w:color w:val="000000"/>
        </w:rPr>
        <w:t>请注意本</w:t>
      </w:r>
      <w:r>
        <w:rPr>
          <w:rFonts w:hint="eastAsia" w:ascii="原版宋体" w:hAnsi="原版宋体" w:eastAsia="宋体" w:cs="Times New Roman"/>
        </w:rPr>
        <w:t>文件的某些内容可能涉及到专利，本文件的发布机构不承担识别专利的责任。</w:t>
      </w:r>
    </w:p>
    <w:p>
      <w:pPr>
        <w:spacing w:line="330" w:lineRule="exact"/>
        <w:ind w:firstLine="420" w:firstLineChars="200"/>
        <w:rPr>
          <w:rFonts w:ascii="原版宋体" w:hAnsi="原版宋体" w:eastAsia="宋体" w:cs="Times New Roman"/>
          <w:szCs w:val="21"/>
        </w:rPr>
      </w:pPr>
      <w:r>
        <w:rPr>
          <w:rFonts w:ascii="原版宋体" w:hAnsi="原版宋体" w:eastAsia="宋体" w:cs="Times New Roman"/>
          <w:szCs w:val="21"/>
        </w:rPr>
        <w:t>本</w:t>
      </w:r>
      <w:r>
        <w:rPr>
          <w:rFonts w:hint="eastAsia" w:ascii="原版宋体" w:hAnsi="原版宋体" w:eastAsia="宋体" w:cs="Times New Roman"/>
          <w:szCs w:val="21"/>
        </w:rPr>
        <w:t>文件</w:t>
      </w:r>
      <w:r>
        <w:rPr>
          <w:rFonts w:ascii="原版宋体" w:hAnsi="原版宋体" w:eastAsia="宋体" w:cs="Times New Roman"/>
          <w:szCs w:val="21"/>
        </w:rPr>
        <w:t>由湖南省</w:t>
      </w:r>
      <w:r>
        <w:rPr>
          <w:rFonts w:hint="eastAsia" w:ascii="原版宋体" w:hAnsi="原版宋体" w:eastAsia="宋体" w:cs="Times New Roman"/>
          <w:szCs w:val="21"/>
        </w:rPr>
        <w:t>卫生健康委员会</w:t>
      </w:r>
      <w:r>
        <w:rPr>
          <w:rFonts w:ascii="原版宋体" w:hAnsi="原版宋体" w:eastAsia="宋体" w:cs="Times New Roman"/>
          <w:szCs w:val="21"/>
        </w:rPr>
        <w:t>提出并归口。</w:t>
      </w:r>
    </w:p>
    <w:p>
      <w:pPr>
        <w:spacing w:line="330" w:lineRule="exact"/>
        <w:ind w:firstLine="420" w:firstLineChars="200"/>
        <w:rPr>
          <w:rFonts w:ascii="原版宋体" w:hAnsi="原版宋体" w:eastAsia="宋体" w:cs="Times New Roman"/>
          <w:szCs w:val="21"/>
        </w:rPr>
      </w:pPr>
      <w:r>
        <w:rPr>
          <w:rFonts w:ascii="原版宋体" w:hAnsi="原版宋体" w:eastAsia="宋体" w:cs="Times New Roman"/>
          <w:szCs w:val="21"/>
        </w:rPr>
        <w:t>本</w:t>
      </w:r>
      <w:r>
        <w:rPr>
          <w:rFonts w:hint="eastAsia" w:ascii="原版宋体" w:hAnsi="原版宋体" w:eastAsia="宋体" w:cs="Times New Roman"/>
          <w:szCs w:val="21"/>
        </w:rPr>
        <w:t>文件</w:t>
      </w:r>
      <w:r>
        <w:rPr>
          <w:rFonts w:ascii="原版宋体" w:hAnsi="原版宋体" w:eastAsia="宋体" w:cs="Times New Roman"/>
          <w:szCs w:val="21"/>
        </w:rPr>
        <w:t>起草单位：湖南省</w:t>
      </w:r>
      <w:r>
        <w:rPr>
          <w:rFonts w:hint="eastAsia" w:ascii="原版宋体" w:hAnsi="原版宋体" w:eastAsia="宋体" w:cs="Times New Roman"/>
          <w:szCs w:val="21"/>
        </w:rPr>
        <w:t>产商品</w:t>
      </w:r>
      <w:r>
        <w:rPr>
          <w:rFonts w:ascii="原版宋体" w:hAnsi="原版宋体" w:eastAsia="宋体" w:cs="Times New Roman"/>
          <w:szCs w:val="21"/>
        </w:rPr>
        <w:t>评审中心、</w:t>
      </w:r>
      <w:r>
        <w:rPr>
          <w:rFonts w:hint="eastAsia" w:ascii="原版宋体" w:hAnsi="原版宋体" w:eastAsia="宋体" w:cs="Times New Roman"/>
          <w:szCs w:val="21"/>
        </w:rPr>
        <w:t>长沙市食品药品信息与审评认证中心</w:t>
      </w:r>
      <w:r>
        <w:rPr>
          <w:rFonts w:ascii="原版宋体" w:hAnsi="原版宋体" w:eastAsia="宋体" w:cs="Times New Roman"/>
          <w:szCs w:val="21"/>
        </w:rPr>
        <w:t>、</w:t>
      </w:r>
      <w:r>
        <w:rPr>
          <w:rFonts w:hint="eastAsia" w:ascii="原版宋体" w:hAnsi="原版宋体" w:eastAsia="宋体" w:cs="Times New Roman"/>
          <w:szCs w:val="21"/>
        </w:rPr>
        <w:t>长沙市饮食安全协会</w:t>
      </w:r>
      <w:r>
        <w:rPr>
          <w:rFonts w:ascii="原版宋体" w:hAnsi="原版宋体" w:eastAsia="宋体" w:cs="Times New Roman"/>
          <w:szCs w:val="21"/>
        </w:rPr>
        <w:t>、</w:t>
      </w:r>
      <w:r>
        <w:rPr>
          <w:rFonts w:hint="eastAsia" w:ascii="原版宋体" w:hAnsi="原版宋体" w:eastAsia="宋体" w:cs="Times New Roman"/>
          <w:szCs w:val="21"/>
        </w:rPr>
        <w:t>湖南山水检测有限公司。</w:t>
      </w:r>
    </w:p>
    <w:p>
      <w:pPr>
        <w:spacing w:line="330" w:lineRule="exact"/>
        <w:ind w:firstLine="420" w:firstLineChars="200"/>
        <w:rPr>
          <w:rFonts w:ascii="原版宋体" w:hAnsi="原版宋体" w:eastAsia="宋体" w:cs="Times New Roman"/>
          <w:szCs w:val="21"/>
        </w:rPr>
      </w:pPr>
      <w:r>
        <w:rPr>
          <w:rFonts w:ascii="原版宋体" w:hAnsi="原版宋体" w:eastAsia="宋体" w:cs="Times New Roman"/>
          <w:szCs w:val="21"/>
        </w:rPr>
        <w:t>本</w:t>
      </w:r>
      <w:r>
        <w:rPr>
          <w:rFonts w:hint="eastAsia" w:ascii="原版宋体" w:hAnsi="原版宋体" w:eastAsia="宋体" w:cs="Times New Roman"/>
          <w:szCs w:val="21"/>
        </w:rPr>
        <w:t>文件</w:t>
      </w:r>
      <w:r>
        <w:rPr>
          <w:rFonts w:ascii="原版宋体" w:hAnsi="原版宋体" w:eastAsia="宋体" w:cs="Times New Roman"/>
          <w:szCs w:val="21"/>
        </w:rPr>
        <w:t>主要起草人：</w:t>
      </w:r>
      <w:r>
        <w:rPr>
          <w:rFonts w:ascii="原版宋体" w:hAnsi="原版宋体" w:eastAsia="仿宋_GB2312" w:cs="Times New Roman"/>
          <w:szCs w:val="24"/>
        </w:rPr>
        <w:t xml:space="preserve"> </w:t>
      </w:r>
      <w:r>
        <w:rPr>
          <w:rFonts w:hint="eastAsia" w:ascii="原版宋体" w:hAnsi="原版宋体" w:eastAsia="宋体" w:cs="Times New Roman"/>
          <w:szCs w:val="21"/>
        </w:rPr>
        <w:t>易翠薇、刘岚松、吴社莲、杨代明、李茂、谭茜、杨若谷、丁献山、谢利平、廖标、易胜先。</w:t>
      </w:r>
    </w:p>
    <w:p>
      <w:pPr>
        <w:spacing w:line="330" w:lineRule="exact"/>
        <w:ind w:firstLine="420" w:firstLineChars="200"/>
        <w:rPr>
          <w:rFonts w:ascii="原版宋体" w:hAnsi="原版宋体" w:eastAsia="仿宋_GB2312" w:cs="Times New Roman"/>
          <w:szCs w:val="24"/>
        </w:rPr>
      </w:pPr>
      <w:r>
        <w:rPr>
          <w:rFonts w:hint="eastAsia" w:ascii="原版宋体" w:hAnsi="原版宋体" w:eastAsia="宋体" w:cs="Times New Roman"/>
          <w:szCs w:val="21"/>
        </w:rPr>
        <w:t>本文件为首次发布。</w:t>
      </w: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rPr>
          <w:rFonts w:ascii="原版宋体" w:hAnsi="原版宋体" w:eastAsia="仿宋_GB2312" w:cs="Times New Roman"/>
          <w:szCs w:val="24"/>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pPr>
    </w:p>
    <w:p>
      <w:pPr>
        <w:jc w:val="center"/>
        <w:rPr>
          <w:rFonts w:ascii="原版宋体" w:hAnsi="原版宋体" w:eastAsia="黑体" w:cs="Times New Roman"/>
          <w:b/>
          <w:bCs/>
          <w:sz w:val="32"/>
          <w:szCs w:val="32"/>
        </w:rPr>
        <w:sectPr>
          <w:headerReference r:id="rId20" w:type="default"/>
          <w:footerReference r:id="rId21" w:type="default"/>
          <w:pgSz w:w="11906" w:h="16838"/>
          <w:pgMar w:top="567" w:right="1134" w:bottom="1134" w:left="1418" w:header="1418" w:footer="1134" w:gutter="0"/>
          <w:pgNumType w:fmt="decimal"/>
          <w:cols w:space="720" w:num="1"/>
          <w:formProt w:val="0"/>
          <w:docGrid w:type="lines" w:linePitch="312" w:charSpace="0"/>
        </w:sectPr>
      </w:pPr>
    </w:p>
    <w:p>
      <w:pPr>
        <w:jc w:val="center"/>
        <w:outlineLvl w:val="0"/>
        <w:rPr>
          <w:rFonts w:ascii="原版宋体" w:hAnsi="原版宋体" w:eastAsia="黑体" w:cs="Times New Roman"/>
          <w:b/>
          <w:bCs/>
          <w:sz w:val="32"/>
          <w:szCs w:val="32"/>
        </w:rPr>
      </w:pPr>
      <w:bookmarkStart w:id="8" w:name="_Toc2893"/>
      <w:r>
        <w:rPr>
          <w:rFonts w:hint="default" w:ascii="原版宋体" w:hAnsi="原版宋体" w:eastAsia="黑体" w:cs="Times New Roman"/>
          <w:b/>
          <w:bCs/>
          <w:sz w:val="32"/>
          <w:szCs w:val="32"/>
        </w:rPr>
        <w:t>中央厨房卫生规范</w:t>
      </w:r>
      <w:bookmarkEnd w:id="8"/>
    </w:p>
    <w:p>
      <w:pPr>
        <w:pStyle w:val="3"/>
        <w:rPr>
          <w:rFonts w:ascii="原版宋体" w:hAnsi="原版宋体" w:eastAsia="黑体" w:cs="Times New Roman"/>
          <w:b w:val="0"/>
          <w:bCs w:val="0"/>
          <w:sz w:val="21"/>
          <w:szCs w:val="21"/>
        </w:rPr>
      </w:pPr>
      <w:bookmarkStart w:id="9" w:name="_Toc7407"/>
      <w:bookmarkStart w:id="10" w:name="_Toc14833"/>
      <w:r>
        <w:rPr>
          <w:rFonts w:hint="default" w:ascii="原版宋体" w:hAnsi="原版宋体" w:eastAsia="黑体" w:cs="Times New Roman"/>
          <w:b w:val="0"/>
          <w:bCs w:val="0"/>
          <w:sz w:val="21"/>
          <w:szCs w:val="21"/>
        </w:rPr>
        <w:t>1 范围</w:t>
      </w:r>
      <w:bookmarkEnd w:id="9"/>
      <w:bookmarkEnd w:id="10"/>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ascii="原版宋体" w:hAnsi="原版宋体" w:cs="Times New Roman"/>
          <w:spacing w:val="-1"/>
          <w:sz w:val="21"/>
          <w:szCs w:val="21"/>
          <w:lang w:eastAsia="zh-CN"/>
        </w:rPr>
        <w:t>本</w:t>
      </w:r>
      <w:r>
        <w:rPr>
          <w:rFonts w:hint="eastAsia" w:ascii="原版宋体" w:hAnsi="原版宋体" w:cs="Times New Roman"/>
          <w:spacing w:val="-1"/>
          <w:sz w:val="21"/>
          <w:szCs w:val="21"/>
          <w:lang w:eastAsia="zh-CN"/>
        </w:rPr>
        <w:t>文件</w:t>
      </w:r>
      <w:r>
        <w:rPr>
          <w:rFonts w:ascii="原版宋体" w:hAnsi="原版宋体" w:cs="Times New Roman"/>
          <w:spacing w:val="-1"/>
          <w:sz w:val="21"/>
          <w:szCs w:val="21"/>
          <w:lang w:eastAsia="zh-CN"/>
        </w:rPr>
        <w:t>规定了</w:t>
      </w:r>
      <w:r>
        <w:rPr>
          <w:rFonts w:hint="eastAsia" w:ascii="原版宋体" w:hAnsi="原版宋体" w:cs="Times New Roman"/>
          <w:spacing w:val="-1"/>
          <w:sz w:val="21"/>
          <w:szCs w:val="21"/>
          <w:lang w:eastAsia="zh-CN"/>
        </w:rPr>
        <w:t>中央厨房</w:t>
      </w:r>
      <w:r>
        <w:rPr>
          <w:rFonts w:ascii="原版宋体" w:hAnsi="原版宋体" w:cs="Times New Roman"/>
          <w:spacing w:val="-1"/>
          <w:sz w:val="21"/>
          <w:szCs w:val="21"/>
          <w:lang w:eastAsia="zh-CN"/>
        </w:rPr>
        <w:t>的术语和定义</w:t>
      </w:r>
      <w:r>
        <w:rPr>
          <w:rFonts w:hint="eastAsia" w:ascii="原版宋体" w:hAnsi="原版宋体" w:cs="Times New Roman"/>
          <w:spacing w:val="-1"/>
          <w:sz w:val="21"/>
          <w:szCs w:val="21"/>
          <w:lang w:eastAsia="zh-CN"/>
        </w:rPr>
        <w:t>、场所与布局、设施与设备、原料采购、运输、验收与贮存、加工过程食品安全控制、检验与留样、产品贮存与配送、清洁维护与废弃物管理、有害生物防治、人员健康与卫生、培训、食品安全管理、追溯与召回和记录与文件的要求</w:t>
      </w:r>
      <w:r>
        <w:rPr>
          <w:rFonts w:ascii="原版宋体" w:hAnsi="原版宋体" w:cs="Times New Roman"/>
          <w:spacing w:val="-1"/>
          <w:sz w:val="21"/>
          <w:szCs w:val="21"/>
          <w:lang w:eastAsia="zh-CN"/>
        </w:rPr>
        <w:t>。</w:t>
      </w:r>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ascii="原版宋体" w:hAnsi="原版宋体" w:cs="Times New Roman"/>
          <w:spacing w:val="-1"/>
          <w:sz w:val="21"/>
          <w:szCs w:val="21"/>
          <w:lang w:eastAsia="zh-CN"/>
        </w:rPr>
        <w:t>本</w:t>
      </w:r>
      <w:r>
        <w:rPr>
          <w:rFonts w:hint="eastAsia" w:ascii="原版宋体" w:hAnsi="原版宋体" w:cs="Times New Roman"/>
          <w:spacing w:val="-1"/>
          <w:sz w:val="21"/>
          <w:szCs w:val="21"/>
          <w:lang w:eastAsia="zh-CN"/>
        </w:rPr>
        <w:t>文件</w:t>
      </w:r>
      <w:r>
        <w:rPr>
          <w:rFonts w:ascii="原版宋体" w:hAnsi="原版宋体" w:cs="Times New Roman"/>
          <w:spacing w:val="-1"/>
          <w:sz w:val="21"/>
          <w:szCs w:val="21"/>
          <w:lang w:eastAsia="zh-CN"/>
        </w:rPr>
        <w:t>适用于</w:t>
      </w:r>
      <w:r>
        <w:rPr>
          <w:rFonts w:hint="eastAsia" w:ascii="原版宋体" w:hAnsi="原版宋体" w:cs="Times New Roman"/>
          <w:spacing w:val="-1"/>
          <w:sz w:val="21"/>
          <w:szCs w:val="21"/>
          <w:lang w:eastAsia="zh-CN"/>
        </w:rPr>
        <w:t>湖南省范围内的所有中央厨房。</w:t>
      </w:r>
    </w:p>
    <w:p>
      <w:pPr>
        <w:pStyle w:val="3"/>
        <w:rPr>
          <w:rFonts w:ascii="原版宋体" w:hAnsi="原版宋体" w:eastAsia="黑体" w:cs="Times New Roman"/>
          <w:b w:val="0"/>
          <w:bCs w:val="0"/>
          <w:sz w:val="21"/>
          <w:szCs w:val="21"/>
        </w:rPr>
      </w:pPr>
      <w:bookmarkStart w:id="11" w:name="_Toc6431"/>
      <w:bookmarkStart w:id="12" w:name="_Toc23602"/>
      <w:r>
        <w:rPr>
          <w:rFonts w:hint="default" w:ascii="原版宋体" w:hAnsi="原版宋体" w:eastAsia="黑体" w:cs="Times New Roman"/>
          <w:b w:val="0"/>
          <w:bCs w:val="0"/>
          <w:sz w:val="21"/>
          <w:szCs w:val="21"/>
        </w:rPr>
        <w:t>2 术语和定义</w:t>
      </w:r>
      <w:bookmarkEnd w:id="11"/>
      <w:bookmarkEnd w:id="12"/>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ascii="原版宋体" w:hAnsi="原版宋体" w:cs="Times New Roman"/>
          <w:spacing w:val="-1"/>
          <w:sz w:val="21"/>
          <w:szCs w:val="21"/>
          <w:lang w:eastAsia="zh-CN"/>
        </w:rPr>
        <w:t>GB 31654</w:t>
      </w:r>
      <w:r>
        <w:rPr>
          <w:rFonts w:hint="eastAsia" w:ascii="原版宋体" w:hAnsi="原版宋体" w:cs="Times New Roman"/>
          <w:spacing w:val="-1"/>
          <w:sz w:val="21"/>
          <w:szCs w:val="21"/>
          <w:lang w:eastAsia="zh-CN"/>
        </w:rPr>
        <w:t>中界定的以及下列术语和定义适用于本文件。</w:t>
      </w:r>
    </w:p>
    <w:p>
      <w:pPr>
        <w:pStyle w:val="26"/>
        <w:tabs>
          <w:tab w:val="left" w:pos="850"/>
        </w:tabs>
        <w:spacing w:before="312" w:beforeLines="100" w:after="312" w:afterLines="100" w:line="320" w:lineRule="exact"/>
        <w:ind w:left="0" w:firstLine="420" w:firstLineChars="0"/>
        <w:jc w:val="both"/>
        <w:outlineLvl w:val="1"/>
        <w:rPr>
          <w:rFonts w:ascii="原版宋体" w:hAnsi="原版宋体" w:cs="Times New Roman"/>
          <w:color w:val="000000"/>
          <w:spacing w:val="-1"/>
          <w:sz w:val="21"/>
          <w:szCs w:val="21"/>
          <w:lang w:eastAsia="zh-CN"/>
        </w:rPr>
      </w:pPr>
      <w:r>
        <w:rPr>
          <w:rFonts w:hint="default" w:ascii="原版宋体" w:hAnsi="原版宋体" w:eastAsia="黑体" w:cs="Times New Roman"/>
          <w:sz w:val="21"/>
          <w:szCs w:val="21"/>
          <w:lang w:eastAsia="zh-CN"/>
        </w:rPr>
        <w:t>2.1</w:t>
      </w:r>
      <w:r>
        <w:rPr>
          <w:rFonts w:hint="default" w:ascii="原版宋体" w:hAnsi="原版宋体" w:eastAsia="黑体" w:cs="Times New Roman"/>
          <w:spacing w:val="-1"/>
          <w:sz w:val="21"/>
          <w:szCs w:val="21"/>
          <w:lang w:eastAsia="zh-CN"/>
        </w:rPr>
        <w:t>中央厨房</w:t>
      </w:r>
    </w:p>
    <w:p>
      <w:pPr>
        <w:pStyle w:val="26"/>
        <w:tabs>
          <w:tab w:val="left" w:pos="850"/>
        </w:tabs>
        <w:spacing w:line="320" w:lineRule="exact"/>
        <w:ind w:left="0" w:firstLine="416" w:firstLineChars="200"/>
        <w:jc w:val="both"/>
        <w:rPr>
          <w:rFonts w:ascii="原版宋体" w:hAnsi="原版宋体" w:cs="Times New Roman"/>
          <w:color w:val="000000"/>
          <w:spacing w:val="-1"/>
          <w:sz w:val="21"/>
          <w:szCs w:val="21"/>
          <w:lang w:eastAsia="zh-CN"/>
        </w:rPr>
      </w:pPr>
      <w:r>
        <w:rPr>
          <w:rFonts w:hint="eastAsia" w:ascii="原版宋体" w:hAnsi="原版宋体" w:cs="Times New Roman"/>
          <w:color w:val="000000"/>
          <w:spacing w:val="-1"/>
          <w:sz w:val="21"/>
          <w:szCs w:val="21"/>
          <w:lang w:eastAsia="zh-CN"/>
        </w:rPr>
        <w:t>由餐饮单位建立，具有独立场所及设施设备，集中完成食品成品或半成品加工制作并配送的食品经营者。</w:t>
      </w:r>
    </w:p>
    <w:p>
      <w:pPr>
        <w:pStyle w:val="26"/>
        <w:tabs>
          <w:tab w:val="left" w:pos="850"/>
        </w:tabs>
        <w:spacing w:before="312" w:beforeLines="100" w:after="312" w:afterLines="100" w:line="320" w:lineRule="exact"/>
        <w:ind w:left="0" w:firstLine="420" w:firstLineChars="0"/>
        <w:jc w:val="both"/>
        <w:outlineLvl w:val="1"/>
        <w:rPr>
          <w:rFonts w:ascii="原版宋体" w:hAnsi="原版宋体" w:eastAsia="黑体" w:cs="Times New Roman"/>
          <w:spacing w:val="-1"/>
          <w:sz w:val="21"/>
          <w:szCs w:val="21"/>
          <w:lang w:eastAsia="zh-CN"/>
        </w:rPr>
      </w:pPr>
      <w:r>
        <w:rPr>
          <w:rFonts w:hint="default" w:ascii="原版宋体" w:hAnsi="原版宋体" w:eastAsia="黑体" w:cs="Times New Roman"/>
          <w:sz w:val="21"/>
          <w:szCs w:val="21"/>
          <w:lang w:eastAsia="zh-CN"/>
        </w:rPr>
        <w:t xml:space="preserve">2.2 </w:t>
      </w:r>
      <w:r>
        <w:rPr>
          <w:rFonts w:hint="default" w:ascii="原版宋体" w:hAnsi="原版宋体" w:eastAsia="黑体" w:cs="Times New Roman"/>
          <w:spacing w:val="-1"/>
          <w:sz w:val="21"/>
          <w:szCs w:val="21"/>
          <w:lang w:eastAsia="zh-CN"/>
        </w:rPr>
        <w:t>生制半成品</w:t>
      </w:r>
    </w:p>
    <w:p>
      <w:pPr>
        <w:pStyle w:val="26"/>
        <w:tabs>
          <w:tab w:val="left" w:pos="850"/>
        </w:tabs>
        <w:spacing w:line="320" w:lineRule="exact"/>
        <w:ind w:left="0" w:firstLine="416" w:firstLineChars="200"/>
        <w:jc w:val="both"/>
        <w:rPr>
          <w:rFonts w:ascii="原版宋体" w:hAnsi="原版宋体" w:cs="Times New Roman"/>
          <w:color w:val="000000"/>
          <w:spacing w:val="-1"/>
          <w:sz w:val="21"/>
          <w:szCs w:val="21"/>
          <w:lang w:eastAsia="zh-CN"/>
        </w:rPr>
      </w:pPr>
      <w:r>
        <w:rPr>
          <w:rFonts w:hint="eastAsia" w:ascii="原版宋体" w:hAnsi="原版宋体" w:cs="Times New Roman"/>
          <w:color w:val="000000"/>
          <w:spacing w:val="-1"/>
          <w:sz w:val="21"/>
          <w:szCs w:val="21"/>
          <w:lang w:eastAsia="zh-CN"/>
        </w:rPr>
        <w:t>食材</w:t>
      </w:r>
      <w:r>
        <w:rPr>
          <w:rFonts w:ascii="原版宋体" w:hAnsi="原版宋体" w:cs="Times New Roman"/>
          <w:color w:val="000000"/>
          <w:spacing w:val="-1"/>
          <w:sz w:val="21"/>
          <w:szCs w:val="21"/>
          <w:lang w:eastAsia="zh-CN"/>
        </w:rPr>
        <w:t>经挑选、清洗、分割、切</w:t>
      </w:r>
      <w:r>
        <w:rPr>
          <w:rFonts w:hint="eastAsia" w:ascii="原版宋体" w:hAnsi="原版宋体" w:cs="Times New Roman"/>
          <w:color w:val="000000"/>
          <w:spacing w:val="-1"/>
          <w:sz w:val="21"/>
          <w:szCs w:val="21"/>
          <w:lang w:eastAsia="zh-CN"/>
        </w:rPr>
        <w:t>配等初加工后，经调制或不经调制，添加或不添加食品辅料、调味料等，发酵或不经发酵（米面类），未经热加工处理的半成品。</w:t>
      </w:r>
    </w:p>
    <w:p>
      <w:pPr>
        <w:pStyle w:val="26"/>
        <w:tabs>
          <w:tab w:val="left" w:pos="850"/>
        </w:tabs>
        <w:spacing w:before="312" w:beforeLines="100" w:after="312" w:afterLines="100" w:line="320" w:lineRule="exact"/>
        <w:ind w:left="0" w:firstLine="420" w:firstLineChars="0"/>
        <w:jc w:val="both"/>
        <w:outlineLvl w:val="1"/>
        <w:rPr>
          <w:rFonts w:ascii="原版宋体" w:hAnsi="原版宋体" w:eastAsia="黑体" w:cs="Times New Roman"/>
          <w:spacing w:val="-1"/>
          <w:sz w:val="21"/>
          <w:szCs w:val="21"/>
          <w:lang w:eastAsia="zh-CN"/>
        </w:rPr>
      </w:pPr>
      <w:r>
        <w:rPr>
          <w:rFonts w:hint="default" w:ascii="原版宋体" w:hAnsi="原版宋体" w:eastAsia="黑体" w:cs="Times New Roman"/>
          <w:sz w:val="21"/>
          <w:szCs w:val="21"/>
          <w:lang w:eastAsia="zh-CN"/>
        </w:rPr>
        <w:t xml:space="preserve">2.3 </w:t>
      </w:r>
      <w:r>
        <w:rPr>
          <w:rFonts w:hint="default" w:ascii="原版宋体" w:hAnsi="原版宋体" w:eastAsia="黑体" w:cs="Times New Roman"/>
          <w:spacing w:val="-1"/>
          <w:sz w:val="21"/>
          <w:szCs w:val="21"/>
          <w:lang w:eastAsia="zh-CN"/>
        </w:rPr>
        <w:t>热制半成品</w:t>
      </w:r>
    </w:p>
    <w:p>
      <w:pPr>
        <w:pStyle w:val="26"/>
        <w:tabs>
          <w:tab w:val="left" w:pos="850"/>
        </w:tabs>
        <w:spacing w:line="320" w:lineRule="exact"/>
        <w:ind w:left="0" w:firstLine="416" w:firstLineChars="200"/>
        <w:jc w:val="both"/>
        <w:rPr>
          <w:rFonts w:ascii="原版宋体" w:hAnsi="原版宋体" w:cs="Times New Roman"/>
          <w:color w:val="000000"/>
          <w:spacing w:val="-1"/>
          <w:sz w:val="21"/>
          <w:szCs w:val="21"/>
          <w:lang w:eastAsia="zh-CN"/>
        </w:rPr>
      </w:pPr>
      <w:r>
        <w:rPr>
          <w:rFonts w:hint="eastAsia" w:ascii="原版宋体" w:hAnsi="原版宋体" w:cs="Times New Roman"/>
          <w:color w:val="000000"/>
          <w:spacing w:val="-1"/>
          <w:sz w:val="21"/>
          <w:szCs w:val="21"/>
          <w:lang w:eastAsia="zh-CN"/>
        </w:rPr>
        <w:t>食材经初步热加工处理后，食用前仍需进一步加工制作的半成品。</w:t>
      </w:r>
    </w:p>
    <w:p>
      <w:pPr>
        <w:pStyle w:val="26"/>
        <w:tabs>
          <w:tab w:val="left" w:pos="850"/>
        </w:tabs>
        <w:spacing w:before="312" w:beforeLines="100" w:after="312" w:afterLines="100" w:line="320" w:lineRule="exact"/>
        <w:ind w:left="0" w:firstLine="420" w:firstLineChars="0"/>
        <w:jc w:val="both"/>
        <w:outlineLvl w:val="1"/>
        <w:rPr>
          <w:rFonts w:ascii="原版宋体" w:hAnsi="原版宋体" w:eastAsia="黑体" w:cs="Times New Roman"/>
          <w:spacing w:val="-1"/>
          <w:sz w:val="21"/>
          <w:szCs w:val="21"/>
          <w:lang w:eastAsia="zh-CN"/>
        </w:rPr>
      </w:pPr>
      <w:r>
        <w:rPr>
          <w:rFonts w:hint="default" w:ascii="原版宋体" w:hAnsi="原版宋体" w:eastAsia="黑体" w:cs="Times New Roman"/>
          <w:sz w:val="21"/>
          <w:szCs w:val="21"/>
          <w:lang w:eastAsia="zh-CN"/>
        </w:rPr>
        <w:t>2.4</w:t>
      </w:r>
      <w:r>
        <w:rPr>
          <w:rFonts w:hint="default" w:ascii="原版宋体" w:hAnsi="原版宋体" w:eastAsia="黑体" w:cs="Times New Roman"/>
          <w:spacing w:val="-1"/>
          <w:sz w:val="21"/>
          <w:szCs w:val="21"/>
          <w:lang w:eastAsia="zh-CN"/>
        </w:rPr>
        <w:t>冷食类食品</w:t>
      </w:r>
    </w:p>
    <w:p>
      <w:pPr>
        <w:pStyle w:val="26"/>
        <w:tabs>
          <w:tab w:val="left" w:pos="850"/>
        </w:tabs>
        <w:spacing w:line="320" w:lineRule="exact"/>
        <w:ind w:left="0" w:firstLine="416" w:firstLineChars="200"/>
        <w:jc w:val="both"/>
        <w:rPr>
          <w:rFonts w:ascii="原版宋体" w:hAnsi="原版宋体" w:eastAsia="黑体" w:cs="Times New Roman"/>
          <w:sz w:val="21"/>
          <w:szCs w:val="21"/>
          <w:lang w:val="en" w:eastAsia="zh-CN"/>
        </w:rPr>
      </w:pPr>
      <w:r>
        <w:rPr>
          <w:rFonts w:hint="eastAsia" w:ascii="原版宋体" w:hAnsi="原版宋体" w:cs="Times New Roman"/>
          <w:color w:val="000000"/>
          <w:spacing w:val="-1"/>
          <w:sz w:val="21"/>
          <w:szCs w:val="21"/>
          <w:lang w:eastAsia="zh-CN"/>
        </w:rPr>
        <w:t>一般无需再加热，在常温或者低温状态下即可食用的食品，含熟食卤味、生食瓜果蔬菜、腌菜等。</w:t>
      </w:r>
    </w:p>
    <w:p>
      <w:pPr>
        <w:pStyle w:val="26"/>
        <w:tabs>
          <w:tab w:val="left" w:pos="850"/>
        </w:tabs>
        <w:spacing w:before="312" w:beforeLines="100" w:after="312" w:afterLines="100" w:line="320" w:lineRule="exact"/>
        <w:ind w:left="0" w:firstLine="420" w:firstLineChars="0"/>
        <w:jc w:val="both"/>
        <w:outlineLvl w:val="1"/>
        <w:rPr>
          <w:rFonts w:ascii="原版宋体" w:hAnsi="原版宋体" w:eastAsia="黑体" w:cs="Times New Roman"/>
          <w:spacing w:val="-1"/>
          <w:sz w:val="21"/>
          <w:szCs w:val="21"/>
          <w:lang w:eastAsia="zh-CN"/>
        </w:rPr>
      </w:pPr>
      <w:r>
        <w:rPr>
          <w:rFonts w:hint="default" w:ascii="原版宋体" w:hAnsi="原版宋体" w:eastAsia="黑体" w:cs="Times New Roman"/>
          <w:sz w:val="21"/>
          <w:szCs w:val="21"/>
          <w:lang w:eastAsia="zh-CN"/>
        </w:rPr>
        <w:t xml:space="preserve">2.5 </w:t>
      </w:r>
      <w:r>
        <w:rPr>
          <w:rFonts w:hint="default" w:ascii="原版宋体" w:hAnsi="原版宋体" w:eastAsia="黑体" w:cs="Times New Roman"/>
          <w:spacing w:val="-1"/>
          <w:sz w:val="21"/>
          <w:szCs w:val="21"/>
          <w:lang w:eastAsia="zh-CN"/>
        </w:rPr>
        <w:t>待配送食品</w:t>
      </w:r>
    </w:p>
    <w:p>
      <w:pPr>
        <w:pStyle w:val="26"/>
        <w:tabs>
          <w:tab w:val="left" w:pos="850"/>
        </w:tabs>
        <w:spacing w:line="320" w:lineRule="exact"/>
        <w:ind w:left="0" w:firstLine="416" w:firstLineChars="200"/>
        <w:jc w:val="both"/>
        <w:rPr>
          <w:rFonts w:ascii="原版宋体" w:hAnsi="原版宋体" w:eastAsia="黑体" w:cs="Times New Roman"/>
          <w:sz w:val="21"/>
          <w:szCs w:val="21"/>
          <w:lang w:eastAsia="zh-CN"/>
        </w:rPr>
      </w:pPr>
      <w:r>
        <w:rPr>
          <w:rFonts w:hint="eastAsia" w:ascii="原版宋体" w:hAnsi="原版宋体" w:cs="Times New Roman"/>
          <w:color w:val="000000"/>
          <w:spacing w:val="-1"/>
          <w:sz w:val="21"/>
          <w:szCs w:val="21"/>
          <w:lang w:eastAsia="zh-CN"/>
        </w:rPr>
        <w:t>经中央厨房加工制作后待配送的所有产品，包括半成品（生制半成品、热制半成品）、成品。</w:t>
      </w:r>
    </w:p>
    <w:p>
      <w:pPr>
        <w:pStyle w:val="3"/>
        <w:rPr>
          <w:rFonts w:ascii="原版宋体" w:hAnsi="原版宋体" w:eastAsia="黑体" w:cs="Times New Roman"/>
          <w:b w:val="0"/>
          <w:bCs w:val="0"/>
          <w:sz w:val="21"/>
          <w:szCs w:val="21"/>
        </w:rPr>
      </w:pPr>
      <w:bookmarkStart w:id="13" w:name="_Toc5732"/>
      <w:r>
        <w:rPr>
          <w:rFonts w:hint="default" w:ascii="原版宋体" w:hAnsi="原版宋体" w:eastAsia="黑体" w:cs="Times New Roman"/>
          <w:b w:val="0"/>
          <w:bCs w:val="0"/>
          <w:sz w:val="21"/>
          <w:szCs w:val="21"/>
        </w:rPr>
        <w:t>3</w:t>
      </w:r>
      <w:bookmarkEnd w:id="13"/>
      <w:r>
        <w:rPr>
          <w:rFonts w:hint="default" w:ascii="原版宋体" w:hAnsi="原版宋体" w:eastAsia="黑体" w:cs="Times New Roman"/>
          <w:b w:val="0"/>
          <w:bCs w:val="0"/>
          <w:sz w:val="21"/>
          <w:szCs w:val="21"/>
        </w:rPr>
        <w:t xml:space="preserve"> 场所与布局</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3.1 选址和环境</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3.1.1 应符合</w:t>
      </w:r>
      <w:r>
        <w:rPr>
          <w:rFonts w:ascii="原版宋体" w:hAnsi="原版宋体" w:cs="Times New Roman"/>
          <w:sz w:val="21"/>
          <w:lang w:eastAsia="zh-CN"/>
        </w:rPr>
        <w:t>GB</w:t>
      </w:r>
      <w:r>
        <w:rPr>
          <w:rFonts w:hint="default" w:ascii="原版宋体" w:hAnsi="原版宋体" w:cs="Times New Roman"/>
          <w:sz w:val="21"/>
          <w:lang w:eastAsia="zh-CN"/>
        </w:rPr>
        <w:t xml:space="preserve"> </w:t>
      </w:r>
      <w:r>
        <w:rPr>
          <w:rFonts w:ascii="原版宋体" w:hAnsi="原版宋体" w:cs="Times New Roman"/>
          <w:sz w:val="21"/>
          <w:lang w:eastAsia="zh-CN"/>
        </w:rPr>
        <w:t>31654</w:t>
      </w:r>
      <w:r>
        <w:rPr>
          <w:rFonts w:hint="default" w:ascii="原版宋体" w:hAnsi="原版宋体" w:cs="Times New Roman"/>
          <w:sz w:val="21"/>
          <w:lang w:eastAsia="zh-CN"/>
        </w:rPr>
        <w:t>-2021中3.1的规定。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3.1.2 应选择地势干燥、有给排水条件和电力供应的地区， 不得设在易受污染的区域。 距离粪坑、 污水池、 暴露垃圾场（站）、旱厕等污染源25m以上。设置在粉尘、有害气体、放射性物质和其他扩散性污染源的影响范围之外。</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3.1.3 应与居民生活区有分隔措施。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3.1.4 食品加工制作区应与宿舍、食堂、职工娱乐场所等生活区完全分隔。应在食品处理区下风向设置垃圾存放处和污水处理区。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3.1.5 道路应铺设混凝土、沥青、或者其他硬质材料。</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3.1.6 应采取必要措施，保持空地环境清洁，防止产生扬尘和积水。</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3.1.7 绿化应与食品处理区保持适当距离，定期维护，以防止虫害孳生。</w:t>
      </w:r>
    </w:p>
    <w:p>
      <w:pPr>
        <w:spacing w:before="156" w:beforeLines="50" w:after="156" w:afterLines="50"/>
        <w:outlineLvl w:val="2"/>
        <w:rPr>
          <w:rFonts w:ascii="原版宋体" w:hAnsi="原版宋体" w:eastAsia="黑体" w:cs="Times New Roman"/>
          <w:szCs w:val="21"/>
        </w:rPr>
      </w:pPr>
      <w:bookmarkStart w:id="14" w:name="_Toc11705"/>
      <w:r>
        <w:rPr>
          <w:rFonts w:hint="default" w:ascii="原版宋体" w:hAnsi="原版宋体" w:eastAsia="黑体" w:cs="Times New Roman"/>
          <w:szCs w:val="21"/>
        </w:rPr>
        <w:t>3.2 设计和布局</w:t>
      </w:r>
      <w:bookmarkEnd w:id="14"/>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3.2.1 应符合</w:t>
      </w:r>
      <w:r>
        <w:rPr>
          <w:rFonts w:ascii="原版宋体" w:hAnsi="原版宋体" w:cs="Times New Roman"/>
          <w:sz w:val="21"/>
          <w:lang w:eastAsia="zh-CN"/>
        </w:rPr>
        <w:t>GB 31654</w:t>
      </w:r>
      <w:r>
        <w:rPr>
          <w:rFonts w:hint="default" w:ascii="原版宋体" w:hAnsi="原版宋体" w:cs="Times New Roman"/>
          <w:sz w:val="21"/>
          <w:lang w:eastAsia="zh-CN"/>
        </w:rPr>
        <w:t>-2021中3.2的规定。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3.2.2 加工制作生制半成品、热制半成品、即食食品中的每一类，食品处理区面积应不小于300㎡。切配烹饪场所面积应不小于食品处理区面积的15%；清洗消毒区面积应不小于食品处理区面积的10%。单纯分装即食调味料（如火锅蘸料）的分装间面积不小于15㎡，其他分装间面积应不小于30㎡，配送集体用餐的分装间面积应不小于食品处理区面积的20%。</w:t>
      </w:r>
    </w:p>
    <w:p>
      <w:pPr>
        <w:pStyle w:val="26"/>
        <w:tabs>
          <w:tab w:val="left" w:pos="850"/>
        </w:tabs>
        <w:spacing w:line="320" w:lineRule="exact"/>
        <w:ind w:left="0" w:firstLine="0"/>
        <w:jc w:val="both"/>
        <w:rPr>
          <w:rFonts w:ascii="原版宋体" w:hAnsi="原版宋体" w:eastAsia="仿宋_GB2312" w:cs="Times New Roman"/>
          <w:sz w:val="32"/>
          <w:szCs w:val="32"/>
          <w:lang w:eastAsia="zh-CN"/>
        </w:rPr>
      </w:pPr>
      <w:r>
        <w:rPr>
          <w:rFonts w:hint="default" w:ascii="原版宋体" w:hAnsi="原版宋体" w:cs="Times New Roman"/>
          <w:sz w:val="21"/>
          <w:lang w:eastAsia="zh-CN"/>
        </w:rPr>
        <w:t>3.2.3 食品处理区应设置在室内，且不得设有饲养和宰杀畜禽等动物的场所。</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3.2.4 应设置与加工方式及加工品种、数量相适应的原料贮存、原料初加工、烹调热加工、食品冷却、分装或内包装、装箱或外包装、待配送食品贮存、餐用具清洗消毒和保洁等加工场所，以及更衣室、检验室等。</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3.2.5 食品加工制作场所应按照清洁程度由低到高分为一般作业区（包括原料贮存、初加工、装箱或外包装、餐用具清洗等场所）、准清洁作业区（包括烹调热加工、面点制作、发酵、生制半成品内包装、热加工半成品冷却、内包装和餐用具消毒等场所）、清洁作业区（包括即食食品分装、热加工食品冷却和内包装等场所），各作业区应独立且分隔。</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 xml:space="preserve">3.2.6 </w:t>
      </w:r>
      <w:r>
        <w:rPr>
          <w:rFonts w:hint="default" w:ascii="原版宋体" w:hAnsi="原版宋体" w:cs="Times New Roman"/>
          <w:color w:val="000000"/>
          <w:sz w:val="21"/>
          <w:lang w:eastAsia="zh-CN"/>
        </w:rPr>
        <w:t>加工场所应按照原料进入、原料处理、半成品加工、成品制作、食品冷却、分装或内包装、装箱或外包装及待配送食品贮存的顺序合理布局，各功能区域划分明显，并有分离或分隔措施，防止交叉污染。</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3.2.7 生制半成品包装、热制半成品包装、即食食品分装应分开设置。</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3.2.8 热加工即食食品冷却和包装或分装应设置在专间内，热制半成品冷却和包装、生制半成品包装可设置在专用操作区内。</w:t>
      </w:r>
    </w:p>
    <w:p>
      <w:pPr>
        <w:spacing w:before="156" w:beforeLines="50" w:after="156" w:afterLines="50"/>
        <w:outlineLvl w:val="2"/>
        <w:rPr>
          <w:rFonts w:ascii="原版宋体" w:hAnsi="原版宋体" w:eastAsia="黑体" w:cs="Times New Roman"/>
          <w:szCs w:val="21"/>
        </w:rPr>
      </w:pPr>
      <w:bookmarkStart w:id="15" w:name="_Toc29930"/>
      <w:r>
        <w:rPr>
          <w:rFonts w:hint="default" w:ascii="原版宋体" w:hAnsi="原版宋体" w:eastAsia="黑体" w:cs="Times New Roman"/>
          <w:szCs w:val="21"/>
        </w:rPr>
        <w:t>3.3 建筑</w:t>
      </w:r>
      <w:bookmarkEnd w:id="15"/>
      <w:r>
        <w:rPr>
          <w:rFonts w:hint="default" w:ascii="原版宋体" w:hAnsi="原版宋体" w:eastAsia="黑体" w:cs="Times New Roman"/>
          <w:szCs w:val="21"/>
        </w:rPr>
        <w:t>内部结构与材料</w:t>
      </w:r>
    </w:p>
    <w:p>
      <w:pPr>
        <w:spacing w:before="156" w:beforeLines="50" w:after="156" w:afterLines="50"/>
        <w:outlineLvl w:val="2"/>
        <w:rPr>
          <w:rFonts w:ascii="原版宋体" w:hAnsi="原版宋体" w:eastAsia="宋体" w:cs="Times New Roman"/>
          <w:szCs w:val="21"/>
        </w:rPr>
      </w:pPr>
      <w:r>
        <w:rPr>
          <w:rFonts w:ascii="原版宋体" w:hAnsi="原版宋体" w:eastAsia="宋体" w:cs="Times New Roman"/>
          <w:kern w:val="2"/>
          <w:sz w:val="21"/>
          <w:szCs w:val="21"/>
          <w:lang w:eastAsia="zh-CN"/>
        </w:rPr>
        <w:t>3.3.1</w:t>
      </w:r>
      <w:r>
        <w:rPr>
          <w:rFonts w:hint="default" w:ascii="原版宋体" w:hAnsi="原版宋体" w:eastAsia="宋体" w:cs="Times New Roman"/>
          <w:kern w:val="2"/>
          <w:sz w:val="21"/>
          <w:szCs w:val="21"/>
          <w:lang w:eastAsia="zh-CN"/>
        </w:rPr>
        <w:t>　基本要求</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3.3.1.1　应符合GB 31654-2021中3.3.1.1的规定。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3.3.1.2　食品加工制作场所地面距天花板高度应不低于2.5m。</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3.3.1.2　地面、墙壁、门窗、天花板的结构应能避免有害生物的侵入和栖息。食品处理区所有孔洞应有防止有害生物侵入的设施。</w:t>
      </w:r>
    </w:p>
    <w:p>
      <w:pPr>
        <w:spacing w:before="156" w:beforeLines="50" w:after="156" w:afterLines="50"/>
        <w:outlineLvl w:val="2"/>
        <w:rPr>
          <w:rFonts w:ascii="原版宋体" w:hAnsi="原版宋体" w:eastAsia="宋体" w:cs="Times New Roman"/>
          <w:szCs w:val="21"/>
        </w:rPr>
      </w:pPr>
      <w:r>
        <w:rPr>
          <w:rFonts w:ascii="原版宋体" w:hAnsi="原版宋体" w:eastAsia="宋体" w:cs="Times New Roman"/>
          <w:kern w:val="2"/>
          <w:sz w:val="21"/>
          <w:szCs w:val="21"/>
          <w:lang w:eastAsia="zh-CN"/>
        </w:rPr>
        <w:t>3.3.2</w:t>
      </w:r>
      <w:r>
        <w:rPr>
          <w:rFonts w:hint="default" w:ascii="原版宋体" w:hAnsi="原版宋体" w:eastAsia="宋体" w:cs="Times New Roman"/>
          <w:kern w:val="2"/>
          <w:sz w:val="21"/>
          <w:szCs w:val="21"/>
          <w:lang w:eastAsia="zh-CN"/>
        </w:rPr>
        <w:t>　天花板</w:t>
      </w:r>
    </w:p>
    <w:p>
      <w:pPr>
        <w:pStyle w:val="26"/>
        <w:tabs>
          <w:tab w:val="left" w:pos="850"/>
        </w:tabs>
        <w:spacing w:line="320" w:lineRule="exact"/>
        <w:ind w:left="735" w:hanging="735" w:hangingChars="350"/>
        <w:jc w:val="both"/>
        <w:rPr>
          <w:rFonts w:ascii="原版宋体" w:hAnsi="原版宋体" w:cs="Times New Roman"/>
          <w:spacing w:val="-1"/>
          <w:sz w:val="21"/>
          <w:szCs w:val="21"/>
          <w:lang w:eastAsia="zh-CN"/>
        </w:rPr>
      </w:pPr>
      <w:r>
        <w:rPr>
          <w:rFonts w:hint="default" w:ascii="原版宋体" w:hAnsi="原版宋体" w:cs="Times New Roman"/>
          <w:sz w:val="21"/>
          <w:lang w:eastAsia="zh-CN"/>
        </w:rPr>
        <w:t>3.3.2.1　</w:t>
      </w:r>
      <w:r>
        <w:rPr>
          <w:rFonts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w:t>
      </w:r>
      <w:r>
        <w:rPr>
          <w:rFonts w:hint="default" w:ascii="原版宋体" w:hAnsi="原版宋体" w:cs="Times New Roman"/>
          <w:sz w:val="21"/>
          <w:lang w:eastAsia="zh-CN"/>
        </w:rPr>
        <w:t>2021中3.3.2.1的</w:t>
      </w:r>
      <w:r>
        <w:rPr>
          <w:rFonts w:hint="default" w:ascii="原版宋体" w:hAnsi="原版宋体" w:cs="Times New Roman"/>
          <w:spacing w:val="-1"/>
          <w:sz w:val="21"/>
          <w:szCs w:val="21"/>
          <w:lang w:eastAsia="zh-CN"/>
        </w:rPr>
        <w:t>规</w:t>
      </w:r>
      <w:r>
        <w:rPr>
          <w:rFonts w:ascii="原版宋体" w:hAnsi="原版宋体" w:cs="Times New Roman"/>
          <w:spacing w:val="-1"/>
          <w:sz w:val="21"/>
          <w:szCs w:val="21"/>
          <w:lang w:eastAsia="zh-CN"/>
        </w:rPr>
        <w:t>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3.3.2.2　水蒸汽较多场所的天花板装修材料应不吸水、耐高温、耐腐蚀，并有适当坡度，在结构上减少凝结水滴落。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3.3.2.3　清洁作业区、准清洁作业区及其他半成品、成品暴露场所屋顶应平整易于清洁。</w:t>
      </w:r>
    </w:p>
    <w:p>
      <w:pPr>
        <w:spacing w:before="156" w:beforeLines="50" w:after="156" w:afterLines="50"/>
        <w:outlineLvl w:val="2"/>
        <w:rPr>
          <w:rFonts w:ascii="原版宋体" w:hAnsi="原版宋体" w:eastAsia="宋体" w:cs="Times New Roman"/>
          <w:szCs w:val="21"/>
        </w:rPr>
      </w:pPr>
      <w:r>
        <w:rPr>
          <w:rFonts w:ascii="原版宋体" w:hAnsi="原版宋体" w:eastAsia="宋体" w:cs="Times New Roman"/>
          <w:kern w:val="2"/>
          <w:sz w:val="21"/>
          <w:szCs w:val="21"/>
          <w:lang w:eastAsia="zh-CN"/>
        </w:rPr>
        <w:t>3.3.3</w:t>
      </w:r>
      <w:r>
        <w:rPr>
          <w:rFonts w:hint="default" w:ascii="原版宋体" w:hAnsi="原版宋体" w:eastAsia="宋体" w:cs="Times New Roman"/>
          <w:kern w:val="2"/>
          <w:sz w:val="21"/>
          <w:szCs w:val="21"/>
          <w:lang w:eastAsia="zh-CN"/>
        </w:rPr>
        <w:t>　墙壁</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3.3.3.1　</w:t>
      </w:r>
      <w:r>
        <w:rPr>
          <w:rFonts w:ascii="原版宋体" w:hAnsi="原版宋体" w:cs="Times New Roman"/>
          <w:sz w:val="21"/>
          <w:lang w:eastAsia="zh-CN"/>
        </w:rPr>
        <w:t>应</w:t>
      </w:r>
      <w:r>
        <w:rPr>
          <w:rFonts w:hint="default" w:ascii="原版宋体" w:hAnsi="原版宋体" w:cs="Times New Roman"/>
          <w:sz w:val="21"/>
          <w:lang w:eastAsia="zh-CN"/>
        </w:rPr>
        <w:t>符合GB 31654-2021中3.3.3.1的规</w:t>
      </w:r>
      <w:r>
        <w:rPr>
          <w:rFonts w:ascii="原版宋体" w:hAnsi="原版宋体" w:cs="Times New Roman"/>
          <w:sz w:val="21"/>
          <w:lang w:eastAsia="zh-CN"/>
        </w:rPr>
        <w:t>定。</w:t>
      </w:r>
    </w:p>
    <w:p>
      <w:pPr>
        <w:pStyle w:val="26"/>
        <w:tabs>
          <w:tab w:val="left" w:pos="850"/>
        </w:tabs>
        <w:spacing w:line="320" w:lineRule="exact"/>
        <w:ind w:left="728" w:hanging="728" w:hangingChars="350"/>
        <w:jc w:val="both"/>
        <w:rPr>
          <w:rFonts w:ascii="原版宋体" w:hAnsi="原版宋体" w:cs="Times New Roman"/>
          <w:spacing w:val="-1"/>
          <w:sz w:val="21"/>
          <w:szCs w:val="21"/>
          <w:lang w:eastAsia="zh-CN"/>
        </w:rPr>
      </w:pPr>
      <w:r>
        <w:rPr>
          <w:rFonts w:hint="default" w:ascii="原版宋体" w:hAnsi="原版宋体" w:cs="Times New Roman"/>
          <w:spacing w:val="-1"/>
          <w:sz w:val="21"/>
          <w:szCs w:val="21"/>
          <w:lang w:eastAsia="zh-CN"/>
        </w:rPr>
        <w:t>3.3.3.2　食品加工制作场所墙壁应用光滑、不吸水、浅色、耐用和易清洗的材料铺设到顶。</w:t>
      </w:r>
    </w:p>
    <w:p>
      <w:pPr>
        <w:spacing w:before="156" w:beforeLines="50" w:after="156" w:afterLines="50"/>
        <w:outlineLvl w:val="2"/>
        <w:rPr>
          <w:rFonts w:ascii="原版宋体" w:hAnsi="原版宋体" w:eastAsia="宋体" w:cs="Times New Roman"/>
          <w:szCs w:val="21"/>
        </w:rPr>
      </w:pPr>
      <w:r>
        <w:rPr>
          <w:rFonts w:ascii="原版宋体" w:hAnsi="原版宋体" w:eastAsia="宋体" w:cs="Times New Roman"/>
          <w:kern w:val="2"/>
          <w:sz w:val="21"/>
          <w:szCs w:val="21"/>
          <w:lang w:eastAsia="zh-CN"/>
        </w:rPr>
        <w:t>3.3.4</w:t>
      </w:r>
      <w:r>
        <w:rPr>
          <w:rFonts w:hint="default" w:ascii="原版宋体" w:hAnsi="原版宋体" w:eastAsia="宋体" w:cs="Times New Roman"/>
          <w:kern w:val="2"/>
          <w:sz w:val="21"/>
          <w:szCs w:val="21"/>
          <w:lang w:eastAsia="zh-CN"/>
        </w:rPr>
        <w:t>　门窗</w:t>
      </w:r>
    </w:p>
    <w:p>
      <w:pPr>
        <w:pStyle w:val="26"/>
        <w:tabs>
          <w:tab w:val="left" w:pos="850"/>
        </w:tabs>
        <w:spacing w:line="320" w:lineRule="exact"/>
        <w:ind w:left="728" w:hanging="728" w:hangingChars="350"/>
        <w:jc w:val="both"/>
        <w:rPr>
          <w:rFonts w:ascii="原版宋体" w:hAnsi="原版宋体" w:cs="Times New Roman"/>
          <w:spacing w:val="-1"/>
          <w:sz w:val="21"/>
          <w:szCs w:val="21"/>
          <w:lang w:eastAsia="zh-CN"/>
        </w:rPr>
      </w:pPr>
      <w:r>
        <w:rPr>
          <w:rFonts w:hint="default" w:ascii="原版宋体" w:hAnsi="原版宋体" w:cs="Times New Roman"/>
          <w:spacing w:val="-1"/>
          <w:sz w:val="21"/>
          <w:szCs w:val="21"/>
          <w:lang w:eastAsia="zh-CN"/>
        </w:rPr>
        <w:t>3.3.4.1　</w:t>
      </w:r>
      <w:r>
        <w:rPr>
          <w:rFonts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31654-2021中3.3.4.1的规</w:t>
      </w:r>
      <w:r>
        <w:rPr>
          <w:rFonts w:ascii="原版宋体" w:hAnsi="原版宋体" w:cs="Times New Roman"/>
          <w:spacing w:val="-1"/>
          <w:sz w:val="21"/>
          <w:szCs w:val="21"/>
          <w:lang w:eastAsia="zh-CN"/>
        </w:rPr>
        <w:t>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3.3.4.2　与外界直接相通的门应有防蝇纱网或风幕、挡鼠板等三防设施，对外可开启的窗应设有易于拆洗且不生锈的防蝇纱网，室内窗台应下斜或采用无窗台结构。</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3.3.4.3　专间门应设置自动闭门器，不同用途的传递窗应分开设置。</w:t>
      </w:r>
    </w:p>
    <w:p>
      <w:pPr>
        <w:spacing w:before="156" w:beforeLines="50" w:after="156" w:afterLines="50"/>
        <w:outlineLvl w:val="2"/>
        <w:rPr>
          <w:rFonts w:ascii="原版宋体" w:hAnsi="原版宋体" w:eastAsia="宋体" w:cs="Times New Roman"/>
          <w:szCs w:val="21"/>
        </w:rPr>
      </w:pPr>
      <w:r>
        <w:rPr>
          <w:rFonts w:ascii="原版宋体" w:hAnsi="原版宋体" w:eastAsia="宋体" w:cs="Times New Roman"/>
          <w:kern w:val="2"/>
          <w:sz w:val="21"/>
          <w:szCs w:val="21"/>
          <w:lang w:eastAsia="zh-CN"/>
        </w:rPr>
        <w:t>3.3.5</w:t>
      </w:r>
      <w:r>
        <w:rPr>
          <w:rFonts w:hint="default" w:ascii="原版宋体" w:hAnsi="原版宋体" w:eastAsia="宋体" w:cs="Times New Roman"/>
          <w:kern w:val="2"/>
          <w:sz w:val="21"/>
          <w:szCs w:val="21"/>
          <w:lang w:eastAsia="zh-CN"/>
        </w:rPr>
        <w:t>　地面</w:t>
      </w:r>
    </w:p>
    <w:p>
      <w:pPr>
        <w:pStyle w:val="26"/>
        <w:tabs>
          <w:tab w:val="left" w:pos="850"/>
        </w:tabs>
        <w:spacing w:line="320" w:lineRule="exact"/>
        <w:ind w:left="735" w:hanging="735" w:hangingChars="350"/>
        <w:jc w:val="both"/>
        <w:rPr>
          <w:rFonts w:ascii="原版宋体" w:hAnsi="原版宋体" w:cs="Times New Roman"/>
          <w:spacing w:val="-1"/>
          <w:sz w:val="21"/>
          <w:szCs w:val="21"/>
          <w:lang w:eastAsia="zh-CN"/>
        </w:rPr>
      </w:pPr>
      <w:bookmarkStart w:id="16" w:name="_Toc6905"/>
      <w:r>
        <w:rPr>
          <w:rFonts w:hint="default" w:ascii="原版宋体" w:hAnsi="原版宋体" w:cs="Times New Roman"/>
          <w:sz w:val="21"/>
          <w:lang w:eastAsia="zh-CN"/>
        </w:rPr>
        <w:t>3.3.5.1　</w:t>
      </w:r>
      <w:r>
        <w:rPr>
          <w:rFonts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w:t>
      </w:r>
      <w:r>
        <w:rPr>
          <w:rFonts w:hint="default" w:ascii="原版宋体" w:hAnsi="原版宋体" w:cs="Times New Roman"/>
          <w:sz w:val="21"/>
          <w:lang w:eastAsia="zh-CN"/>
        </w:rPr>
        <w:t>2021中3.3.5.1的</w:t>
      </w:r>
      <w:r>
        <w:rPr>
          <w:rFonts w:hint="default" w:ascii="原版宋体" w:hAnsi="原版宋体" w:cs="Times New Roman"/>
          <w:spacing w:val="-1"/>
          <w:sz w:val="21"/>
          <w:szCs w:val="21"/>
          <w:lang w:eastAsia="zh-CN"/>
        </w:rPr>
        <w:t>规</w:t>
      </w:r>
      <w:r>
        <w:rPr>
          <w:rFonts w:ascii="原版宋体" w:hAnsi="原版宋体" w:cs="Times New Roman"/>
          <w:spacing w:val="-1"/>
          <w:sz w:val="21"/>
          <w:szCs w:val="21"/>
          <w:lang w:eastAsia="zh-CN"/>
        </w:rPr>
        <w:t>定。</w:t>
      </w:r>
    </w:p>
    <w:p>
      <w:pPr>
        <w:pStyle w:val="26"/>
        <w:tabs>
          <w:tab w:val="left" w:pos="850"/>
        </w:tabs>
        <w:spacing w:line="320" w:lineRule="exact"/>
        <w:ind w:left="735" w:hanging="735" w:hangingChars="350"/>
        <w:jc w:val="both"/>
        <w:rPr>
          <w:rFonts w:ascii="原版宋体" w:hAnsi="原版宋体" w:cs="Times New Roman"/>
          <w:spacing w:val="-1"/>
          <w:sz w:val="21"/>
          <w:szCs w:val="21"/>
          <w:lang w:eastAsia="zh-CN"/>
        </w:rPr>
      </w:pPr>
      <w:r>
        <w:rPr>
          <w:rFonts w:hint="default" w:ascii="原版宋体" w:hAnsi="原版宋体" w:cs="Times New Roman"/>
          <w:sz w:val="21"/>
          <w:lang w:eastAsia="zh-CN"/>
        </w:rPr>
        <w:t>3.3.5.1　食品加工制作场所的地面应有向排水沟方向倾斜的适当坡度，坡度应不小于1.5%。</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4　设施与</w:t>
      </w:r>
      <w:bookmarkEnd w:id="16"/>
      <w:r>
        <w:rPr>
          <w:rFonts w:hint="default" w:ascii="原版宋体" w:hAnsi="原版宋体" w:eastAsia="黑体" w:cs="Times New Roman"/>
          <w:b w:val="0"/>
          <w:bCs w:val="0"/>
          <w:sz w:val="21"/>
          <w:szCs w:val="21"/>
        </w:rPr>
        <w:t>设备</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4.1　供水设施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4.1.1　</w:t>
      </w:r>
      <w:r>
        <w:rPr>
          <w:rFonts w:ascii="原版宋体" w:hAnsi="原版宋体" w:cs="Times New Roman"/>
          <w:sz w:val="21"/>
          <w:lang w:eastAsia="zh-CN"/>
        </w:rPr>
        <w:t>应</w:t>
      </w:r>
      <w:r>
        <w:rPr>
          <w:rFonts w:hint="default" w:ascii="原版宋体" w:hAnsi="原版宋体" w:cs="Times New Roman"/>
          <w:sz w:val="21"/>
          <w:lang w:eastAsia="zh-CN"/>
        </w:rPr>
        <w:t>符合GB 31654-2021中4.1的规</w:t>
      </w:r>
      <w:r>
        <w:rPr>
          <w:rFonts w:ascii="原版宋体" w:hAnsi="原版宋体" w:cs="Times New Roman"/>
          <w:sz w:val="21"/>
          <w:lang w:eastAsia="zh-CN"/>
        </w:rPr>
        <w:t>定。</w:t>
      </w:r>
    </w:p>
    <w:p>
      <w:pPr>
        <w:pStyle w:val="26"/>
        <w:tabs>
          <w:tab w:val="left" w:pos="850"/>
        </w:tabs>
        <w:spacing w:line="320" w:lineRule="exact"/>
        <w:ind w:left="735" w:hanging="735" w:hangingChars="350"/>
        <w:jc w:val="both"/>
        <w:rPr>
          <w:rFonts w:ascii="原版宋体" w:hAnsi="原版宋体" w:cs="Times New Roman"/>
          <w:sz w:val="21"/>
          <w:lang w:eastAsia="zh-CN"/>
        </w:rPr>
      </w:pPr>
      <w:r>
        <w:rPr>
          <w:rFonts w:hint="default" w:ascii="原版宋体" w:hAnsi="原版宋体" w:cs="Times New Roman"/>
          <w:sz w:val="21"/>
          <w:lang w:eastAsia="zh-CN"/>
        </w:rPr>
        <w:t>4.1.2　使用二次供水设施应符合GB 17051的规定。</w:t>
      </w:r>
    </w:p>
    <w:p>
      <w:pPr>
        <w:numPr>
          <w:ilvl w:val="2"/>
          <w:numId w:val="0"/>
        </w:numPr>
        <w:tabs>
          <w:tab w:val="left" w:pos="1440"/>
        </w:tabs>
        <w:spacing w:before="156" w:after="156"/>
        <w:outlineLvl w:val="3"/>
        <w:rPr>
          <w:rFonts w:ascii="原版宋体" w:hAnsi="原版宋体" w:eastAsia="黑体" w:cs="Times New Roman"/>
          <w:szCs w:val="21"/>
        </w:rPr>
      </w:pPr>
      <w:r>
        <w:rPr>
          <w:rFonts w:hint="default" w:ascii="原版宋体" w:hAnsi="原版宋体" w:eastAsia="黑体" w:cs="Times New Roman"/>
          <w:color w:val="000000"/>
          <w:szCs w:val="24"/>
        </w:rPr>
        <w:t>4.2　排</w:t>
      </w:r>
      <w:r>
        <w:rPr>
          <w:rFonts w:ascii="原版宋体" w:hAnsi="原版宋体" w:eastAsia="黑体" w:cs="Times New Roman"/>
          <w:szCs w:val="21"/>
        </w:rPr>
        <w:t>水</w:t>
      </w:r>
      <w:r>
        <w:rPr>
          <w:rFonts w:hint="eastAsia" w:ascii="原版宋体" w:hAnsi="原版宋体" w:eastAsia="黑体" w:cs="Times New Roman"/>
          <w:szCs w:val="21"/>
        </w:rPr>
        <w:t>设施</w:t>
      </w:r>
    </w:p>
    <w:p>
      <w:pPr>
        <w:pStyle w:val="26"/>
        <w:tabs>
          <w:tab w:val="left" w:pos="850"/>
        </w:tabs>
        <w:spacing w:line="320" w:lineRule="exact"/>
        <w:ind w:left="735" w:hanging="735" w:hangingChars="350"/>
        <w:jc w:val="both"/>
        <w:rPr>
          <w:rFonts w:ascii="原版宋体" w:hAnsi="原版宋体" w:cs="Times New Roman"/>
          <w:sz w:val="21"/>
          <w:lang w:eastAsia="zh-CN"/>
        </w:rPr>
      </w:pPr>
      <w:bookmarkStart w:id="17" w:name="_Toc3157"/>
      <w:r>
        <w:rPr>
          <w:rFonts w:hint="default" w:ascii="原版宋体" w:hAnsi="原版宋体" w:cs="Times New Roman"/>
          <w:sz w:val="21"/>
          <w:lang w:eastAsia="zh-CN"/>
        </w:rPr>
        <w:t>4.2.1　应符合</w:t>
      </w:r>
      <w:r>
        <w:rPr>
          <w:rFonts w:ascii="原版宋体" w:hAnsi="原版宋体" w:cs="Times New Roman"/>
          <w:sz w:val="21"/>
          <w:lang w:eastAsia="zh-CN"/>
        </w:rPr>
        <w:t>GB 31654</w:t>
      </w:r>
      <w:r>
        <w:rPr>
          <w:rFonts w:hint="default" w:ascii="原版宋体" w:hAnsi="原版宋体" w:cs="Times New Roman"/>
          <w:sz w:val="21"/>
          <w:lang w:eastAsia="zh-CN"/>
        </w:rPr>
        <w:t>-2021中4.2的规定。</w:t>
      </w:r>
    </w:p>
    <w:p>
      <w:pPr>
        <w:pStyle w:val="26"/>
        <w:tabs>
          <w:tab w:val="left" w:pos="850"/>
        </w:tabs>
        <w:spacing w:line="320" w:lineRule="exact"/>
        <w:ind w:left="735" w:hanging="735" w:hangingChars="350"/>
        <w:jc w:val="both"/>
        <w:rPr>
          <w:rFonts w:ascii="原版宋体" w:hAnsi="原版宋体" w:cs="Times New Roman"/>
          <w:sz w:val="21"/>
          <w:lang w:eastAsia="zh-CN"/>
        </w:rPr>
      </w:pPr>
      <w:r>
        <w:rPr>
          <w:rFonts w:hint="default" w:ascii="原版宋体" w:hAnsi="原版宋体" w:cs="Times New Roman"/>
          <w:sz w:val="21"/>
          <w:lang w:eastAsia="zh-CN"/>
        </w:rPr>
        <w:t>4.2.2　排水的流向应由高清洁操作区流向低清洁操作区，并能防止污水逆流。</w:t>
      </w:r>
    </w:p>
    <w:p>
      <w:pPr>
        <w:pStyle w:val="26"/>
        <w:tabs>
          <w:tab w:val="left" w:pos="850"/>
        </w:tabs>
        <w:spacing w:line="320" w:lineRule="exact"/>
        <w:ind w:left="735" w:hanging="735" w:hangingChars="350"/>
        <w:jc w:val="both"/>
        <w:rPr>
          <w:rFonts w:ascii="原版宋体" w:hAnsi="原版宋体" w:cs="Times New Roman"/>
          <w:spacing w:val="-1"/>
          <w:sz w:val="21"/>
          <w:szCs w:val="21"/>
          <w:lang w:eastAsia="zh-CN"/>
        </w:rPr>
      </w:pPr>
      <w:r>
        <w:rPr>
          <w:rFonts w:hint="default" w:ascii="原版宋体" w:hAnsi="原版宋体" w:cs="Times New Roman"/>
          <w:sz w:val="21"/>
          <w:lang w:eastAsia="zh-CN"/>
        </w:rPr>
        <w:t>4.2.3　</w:t>
      </w:r>
      <w:r>
        <w:rPr>
          <w:rFonts w:hint="default" w:ascii="原版宋体" w:hAnsi="原版宋体" w:cs="Times New Roman"/>
          <w:spacing w:val="-1"/>
          <w:sz w:val="21"/>
          <w:szCs w:val="21"/>
          <w:lang w:eastAsia="zh-CN"/>
        </w:rPr>
        <w:t>排水沟内不得设置其他管路，侧面和底面接合处应有一定弧度，并设有可拆卸的装置。</w:t>
      </w:r>
    </w:p>
    <w:bookmarkEnd w:id="17"/>
    <w:p>
      <w:pPr>
        <w:numPr>
          <w:ilvl w:val="2"/>
          <w:numId w:val="0"/>
        </w:numPr>
        <w:tabs>
          <w:tab w:val="left" w:pos="1440"/>
        </w:tabs>
        <w:spacing w:before="156" w:after="156"/>
        <w:outlineLvl w:val="3"/>
        <w:rPr>
          <w:rFonts w:ascii="原版宋体" w:hAnsi="原版宋体" w:eastAsia="黑体" w:cs="Times New Roman"/>
          <w:szCs w:val="21"/>
        </w:rPr>
      </w:pPr>
      <w:r>
        <w:rPr>
          <w:rFonts w:hint="default" w:ascii="原版宋体" w:hAnsi="原版宋体" w:eastAsia="黑体" w:cs="Times New Roman"/>
          <w:color w:val="000000"/>
          <w:szCs w:val="24"/>
        </w:rPr>
        <w:t>4.3　</w:t>
      </w:r>
      <w:r>
        <w:rPr>
          <w:rFonts w:hint="eastAsia" w:ascii="原版宋体" w:hAnsi="原版宋体" w:eastAsia="黑体" w:cs="Times New Roman"/>
          <w:szCs w:val="21"/>
        </w:rPr>
        <w:t>餐用具清洗、消毒和存放设施设备</w:t>
      </w:r>
    </w:p>
    <w:p>
      <w:pPr>
        <w:pStyle w:val="26"/>
        <w:tabs>
          <w:tab w:val="left" w:pos="850"/>
        </w:tabs>
        <w:spacing w:line="320" w:lineRule="exact"/>
        <w:ind w:left="735" w:hanging="735" w:hangingChars="350"/>
        <w:jc w:val="both"/>
        <w:rPr>
          <w:rFonts w:ascii="原版宋体" w:hAnsi="原版宋体" w:cs="Times New Roman"/>
          <w:sz w:val="21"/>
          <w:lang w:eastAsia="zh-CN"/>
        </w:rPr>
      </w:pPr>
      <w:r>
        <w:rPr>
          <w:rFonts w:hint="default" w:ascii="原版宋体" w:hAnsi="原版宋体" w:cs="Times New Roman"/>
          <w:sz w:val="21"/>
          <w:lang w:eastAsia="zh-CN"/>
        </w:rPr>
        <w:t>4.3.1　应根据加工食品的品种和数量，配备能正常运转的清洗、消毒、保洁设施设备。</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4.3.2　采用热力消毒的， 至少设有２个专用水池；采用化学消毒的，至少设有3个专用水池。各类水池应以明显标识标明其用途。</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4.3.3　水池应使用不锈钢或陶瓷等不透水材料、不易积垢，易于清洗。水池大小应能满足各类餐用具的清洁。</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4.3.4　采用自动清洗消毒设备的，设备上应有温度显示和清洗消毒剂自动添加装置，自动添加装置应定期检定。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4.3.5　盛装直接入口的食品容器应采用热力消毒。</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4.3.6　应设专供存放消毒后工用具和容器的保洁设施，其结构应密闭，易于清洁。集体用餐即食食品分装容器的消毒和保洁设施应专用，为对开门，使用时从清洁区取出。</w:t>
      </w:r>
    </w:p>
    <w:p>
      <w:pPr>
        <w:pStyle w:val="26"/>
        <w:tabs>
          <w:tab w:val="left" w:pos="850"/>
        </w:tabs>
        <w:spacing w:line="320" w:lineRule="exact"/>
        <w:ind w:left="735" w:hanging="735" w:hangingChars="350"/>
        <w:jc w:val="both"/>
        <w:rPr>
          <w:rFonts w:ascii="原版宋体" w:hAnsi="原版宋体" w:cs="Times New Roman"/>
          <w:sz w:val="21"/>
          <w:lang w:eastAsia="zh-CN"/>
        </w:rPr>
      </w:pPr>
      <w:r>
        <w:rPr>
          <w:rFonts w:hint="default" w:ascii="原版宋体" w:hAnsi="原版宋体" w:cs="Times New Roman"/>
          <w:sz w:val="21"/>
          <w:lang w:eastAsia="zh-CN"/>
        </w:rPr>
        <w:t>4.3.7　使用的洗涤剂、消毒剂应符合GB 14930.1和GB 14930.2的相关规定。</w:t>
      </w:r>
    </w:p>
    <w:p>
      <w:pPr>
        <w:numPr>
          <w:ilvl w:val="2"/>
          <w:numId w:val="0"/>
        </w:numPr>
        <w:tabs>
          <w:tab w:val="left" w:pos="1440"/>
        </w:tabs>
        <w:spacing w:before="156" w:after="156"/>
        <w:outlineLvl w:val="3"/>
        <w:rPr>
          <w:rFonts w:ascii="原版宋体" w:hAnsi="原版宋体" w:eastAsia="黑体" w:cs="Times New Roman"/>
          <w:szCs w:val="21"/>
        </w:rPr>
      </w:pPr>
      <w:r>
        <w:rPr>
          <w:rFonts w:hint="default" w:ascii="原版宋体" w:hAnsi="原版宋体" w:eastAsia="黑体" w:cs="Times New Roman"/>
          <w:color w:val="000000"/>
          <w:szCs w:val="24"/>
        </w:rPr>
        <w:t>4.4　洗手</w:t>
      </w:r>
      <w:r>
        <w:rPr>
          <w:rFonts w:hint="eastAsia" w:ascii="原版宋体" w:hAnsi="原版宋体" w:eastAsia="黑体" w:cs="Times New Roman"/>
          <w:szCs w:val="21"/>
        </w:rPr>
        <w:t>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4.4.1　应在人员进入食品处理区的入口处设置洗手消毒设施。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4.4.2　洗手池应采用不透水，易清洁材料。</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4.4.3　专间水龙头应采用非手触动式开关，并提供温水。</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4.4.4　洗手设施附近应配备洗手液(皂)、自动喷淋消毒、干手设施等。</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4.4.5　应在洗手池上方张贴简明易懂的洗手方法。</w:t>
      </w:r>
    </w:p>
    <w:p>
      <w:pPr>
        <w:numPr>
          <w:ilvl w:val="2"/>
          <w:numId w:val="0"/>
        </w:numPr>
        <w:tabs>
          <w:tab w:val="left" w:pos="1440"/>
        </w:tabs>
        <w:spacing w:before="156" w:after="156"/>
        <w:outlineLvl w:val="3"/>
        <w:rPr>
          <w:rFonts w:ascii="原版宋体" w:hAnsi="原版宋体" w:eastAsia="黑体" w:cs="Times New Roman"/>
          <w:szCs w:val="21"/>
        </w:rPr>
      </w:pPr>
      <w:r>
        <w:rPr>
          <w:rFonts w:hint="default" w:ascii="原版宋体" w:hAnsi="原版宋体" w:eastAsia="黑体" w:cs="Times New Roman"/>
          <w:color w:val="000000"/>
          <w:szCs w:val="24"/>
        </w:rPr>
        <w:t>4.5　卫生间</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4.5.1　不得设置在食品处理区内，出入口不应直对食品处理区。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4.5.2　应配备专用的清洁工具，并保持卫生间的清洁。</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4.5.3　出入口处应设置洗手消毒设施。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4.5.4　应设置独立的排风装置，排风口不应直对食品处理区。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4.5.5　排污管道应与食品处理区的排水管道分开设置，并设有防止臭气反逆的装置。</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4.6　更衣区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4.6.1　应设置在不同作业区员工的入口处。</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4.6.2　应根据从业人员人数分别设置员工个人物品储物柜、工作服晾衣或挂衣设施。应分开设置工作服与私人衣物存放区。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4.6.3　专间人员入口处应设置阻隔式鞋柜，工作服应专用，配备足够数量的工作服消毒设施，并与其他作业区工作服分开存放。配送集体用餐的分装专间应配备通过式风淋室。</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4.7　照明设施</w:t>
      </w:r>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hint="eastAsia"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31654-2021的相</w:t>
      </w:r>
      <w:r>
        <w:rPr>
          <w:rFonts w:hint="eastAsia" w:ascii="原版宋体" w:hAnsi="原版宋体" w:cs="Times New Roman"/>
          <w:spacing w:val="-1"/>
          <w:sz w:val="21"/>
          <w:szCs w:val="21"/>
          <w:lang w:eastAsia="zh-CN"/>
        </w:rPr>
        <w:t>关规定。</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 xml:space="preserve">4.8　通风排烟设施 </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4.8.1  通风排烟设施应易于清洁、维修或更换。</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4.8.2  食品处理区（冷冻库、冷藏库除外）应保持空气流通。专间应设独立的空调设施。应定期清洁维护消毒空调及通风设施。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4.8.3  产生油烟的设备，上方应设置机械排风及油烟过滤装置，过滤器便于清洁、更换。</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4.8.4  产生大量蒸汽的设备，上方应设置机械排风排气装置，并做好冷凝水的引泄。</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4.8.5  排气口应设置有效防止有害生物侵入的网罩。</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 xml:space="preserve">4.9　贮存设施 </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4.9.1  应符合</w:t>
      </w:r>
      <w:r>
        <w:rPr>
          <w:rFonts w:ascii="原版宋体" w:hAnsi="原版宋体" w:cs="Times New Roman"/>
          <w:sz w:val="21"/>
          <w:lang w:eastAsia="zh-CN"/>
        </w:rPr>
        <w:t>GB 31654</w:t>
      </w:r>
      <w:r>
        <w:rPr>
          <w:rFonts w:hint="default" w:ascii="原版宋体" w:hAnsi="原版宋体" w:cs="Times New Roman"/>
          <w:sz w:val="21"/>
          <w:lang w:eastAsia="zh-CN"/>
        </w:rPr>
        <w:t>-2021中4.9的规定。</w:t>
      </w:r>
    </w:p>
    <w:p>
      <w:pPr>
        <w:pStyle w:val="26"/>
        <w:tabs>
          <w:tab w:val="left" w:pos="850"/>
        </w:tabs>
        <w:spacing w:line="320" w:lineRule="exact"/>
        <w:ind w:left="735" w:hanging="735" w:hangingChars="350"/>
        <w:jc w:val="both"/>
        <w:rPr>
          <w:rFonts w:ascii="原版宋体" w:hAnsi="原版宋体" w:cs="Times New Roman"/>
          <w:sz w:val="21"/>
          <w:lang w:eastAsia="zh-CN"/>
        </w:rPr>
      </w:pPr>
      <w:r>
        <w:rPr>
          <w:rFonts w:hint="default" w:ascii="原版宋体" w:hAnsi="原版宋体" w:cs="Times New Roman"/>
          <w:sz w:val="21"/>
          <w:lang w:eastAsia="zh-CN"/>
        </w:rPr>
        <w:t>4.9.2  食品库房内应配温湿度计，并定期监测。</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4.9.3  应有能满足所有食品及其原料的存放货架，货架应为不锈钢制品。</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4.9.4  应设置足够数量的食品级收纳箱，用于贮存去除不洁外包装的散装食品，并配有标识标签。</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4.10　废弃物存放设施</w:t>
      </w:r>
    </w:p>
    <w:p>
      <w:pPr>
        <w:autoSpaceDE w:val="0"/>
        <w:autoSpaceDN w:val="0"/>
        <w:rPr>
          <w:rFonts w:ascii="原版宋体" w:hAnsi="原版宋体" w:eastAsia="宋体" w:cs="Times New Roman"/>
        </w:rPr>
      </w:pPr>
      <w:r>
        <w:rPr>
          <w:rFonts w:hint="default" w:ascii="原版宋体" w:hAnsi="原版宋体" w:eastAsia="宋体" w:cs="Times New Roman"/>
        </w:rPr>
        <w:t>4.10.1  应符合</w:t>
      </w:r>
      <w:r>
        <w:rPr>
          <w:rFonts w:ascii="原版宋体" w:hAnsi="原版宋体" w:eastAsia="宋体" w:cs="Times New Roman"/>
          <w:spacing w:val="-1"/>
          <w:szCs w:val="21"/>
        </w:rPr>
        <w:t>GB 31654</w:t>
      </w:r>
      <w:r>
        <w:rPr>
          <w:rFonts w:hint="eastAsia" w:ascii="原版宋体" w:hAnsi="原版宋体" w:eastAsia="宋体" w:cs="Times New Roman"/>
          <w:spacing w:val="-1"/>
          <w:szCs w:val="21"/>
        </w:rPr>
        <w:t>-2021中4.10的规定。</w:t>
      </w:r>
    </w:p>
    <w:p>
      <w:pPr>
        <w:autoSpaceDE w:val="0"/>
        <w:autoSpaceDN w:val="0"/>
        <w:rPr>
          <w:rFonts w:ascii="原版宋体" w:hAnsi="原版宋体" w:eastAsia="宋体" w:cs="Times New Roman"/>
        </w:rPr>
      </w:pPr>
      <w:r>
        <w:rPr>
          <w:rFonts w:hint="default" w:ascii="原版宋体" w:hAnsi="原版宋体" w:eastAsia="宋体" w:cs="Times New Roman"/>
        </w:rPr>
        <w:t>4.10.2  专间内应为非手动并带盖的废弃物存放容器，有显著标识，并及时清洁消毒。</w:t>
      </w:r>
    </w:p>
    <w:p>
      <w:pPr>
        <w:autoSpaceDE w:val="0"/>
        <w:autoSpaceDN w:val="0"/>
        <w:rPr>
          <w:rFonts w:ascii="原版宋体" w:hAnsi="原版宋体" w:eastAsia="宋体" w:cs="Times New Roman"/>
        </w:rPr>
      </w:pPr>
      <w:r>
        <w:rPr>
          <w:rFonts w:hint="default" w:ascii="原版宋体" w:hAnsi="原版宋体" w:eastAsia="宋体" w:cs="Times New Roman"/>
        </w:rPr>
        <w:t>4.10.3  废弃物存放设施的放置应不影响食品的加工制作。</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4.11　食品容器、工具和设备</w:t>
      </w:r>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hint="eastAsia"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31654-2021的相</w:t>
      </w:r>
      <w:r>
        <w:rPr>
          <w:rFonts w:hint="eastAsia" w:ascii="原版宋体" w:hAnsi="原版宋体" w:cs="Times New Roman"/>
          <w:spacing w:val="-1"/>
          <w:sz w:val="21"/>
          <w:szCs w:val="21"/>
          <w:lang w:eastAsia="zh-CN"/>
        </w:rPr>
        <w:t>关规定。</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5　原料采购、运输、验收与贮存</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5.1　应符合</w:t>
      </w:r>
      <w:r>
        <w:rPr>
          <w:rFonts w:ascii="原版宋体" w:hAnsi="原版宋体" w:cs="Times New Roman"/>
          <w:sz w:val="21"/>
          <w:lang w:eastAsia="zh-CN"/>
        </w:rPr>
        <w:t>GB 31654</w:t>
      </w:r>
      <w:r>
        <w:rPr>
          <w:rFonts w:hint="default" w:ascii="原版宋体" w:hAnsi="原版宋体" w:cs="Times New Roman"/>
          <w:sz w:val="21"/>
          <w:lang w:eastAsia="zh-CN"/>
        </w:rPr>
        <w:t>-2021中5.1、5.2、5.3、5.4的规定。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5. 2　应定点采购食品及其原料，并与供应商签订食品安全保障协议。应建立审核及退出机制，定期对供应商的食品安全状况进行评价考核，及时更换不符合要求的供应商。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5. 3　宜在索证索票的基础上建立食品安全电子追溯体系，如实、准确、完整记录并保存食品进货查验等信息，确保对食品从原料采购到销售的所有环节都可进行有效追溯。</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6　加工过程食品安全控制</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6.1　基本要求</w:t>
      </w:r>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hint="eastAsia"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31654-2021的相</w:t>
      </w:r>
      <w:r>
        <w:rPr>
          <w:rFonts w:hint="eastAsia" w:ascii="原版宋体" w:hAnsi="原版宋体" w:cs="Times New Roman"/>
          <w:spacing w:val="-1"/>
          <w:sz w:val="21"/>
          <w:szCs w:val="21"/>
          <w:lang w:eastAsia="zh-CN"/>
        </w:rPr>
        <w:t>关规定。</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6.2　初加工</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6.2.1　应符合</w:t>
      </w:r>
      <w:r>
        <w:rPr>
          <w:rFonts w:ascii="原版宋体" w:hAnsi="原版宋体" w:cs="Times New Roman"/>
          <w:sz w:val="21"/>
          <w:lang w:eastAsia="zh-CN"/>
        </w:rPr>
        <w:t>GB 31654</w:t>
      </w:r>
      <w:r>
        <w:rPr>
          <w:rFonts w:hint="default" w:ascii="原版宋体" w:hAnsi="原版宋体" w:cs="Times New Roman"/>
          <w:sz w:val="21"/>
          <w:lang w:eastAsia="zh-CN"/>
        </w:rPr>
        <w:t>-2021中6.2的规定。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6.2.2　动物性食品、植物性食品、水产品3类场所应分开设置，用具应分开使用，并有明显标识。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6.2.3　应配备与加工食品品种相符合的原料清洗水池和操作台,水池数量或容量和操作台数量应与加工食品的品种和数量相适应，动物性、植物性、水产品原料清洗池应分开设置，并保持适当距离。各类水池和不同场所（功能间）、区域应有明显的区分标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6.2.4　加工易腐食品原料的场所应配备温度控制显示装置。食品原料解冻应采用流水解冻或冷藏解冻。常见的解冻方法见附录B。</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6.2.5　应设置独立洁具清洗间。食品处理区清洁工具的清洗水池应专用，与食品清洗池之间保持适当的距离，并有明显标识。</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6.3　烹饪（热加工）</w:t>
      </w:r>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hint="eastAsia"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31654-2021的相</w:t>
      </w:r>
      <w:r>
        <w:rPr>
          <w:rFonts w:hint="eastAsia" w:ascii="原版宋体" w:hAnsi="原版宋体" w:cs="Times New Roman"/>
          <w:spacing w:val="-1"/>
          <w:sz w:val="21"/>
          <w:szCs w:val="21"/>
          <w:lang w:eastAsia="zh-CN"/>
        </w:rPr>
        <w:t>关规定。</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6.4　专间和专用操作区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6.4.1　应符合</w:t>
      </w:r>
      <w:r>
        <w:rPr>
          <w:rFonts w:ascii="原版宋体" w:hAnsi="原版宋体" w:cs="Times New Roman"/>
          <w:sz w:val="21"/>
          <w:lang w:eastAsia="zh-CN"/>
        </w:rPr>
        <w:t>GB 31654</w:t>
      </w:r>
      <w:r>
        <w:rPr>
          <w:rFonts w:hint="default" w:ascii="原版宋体" w:hAnsi="原版宋体" w:cs="Times New Roman"/>
          <w:sz w:val="21"/>
          <w:lang w:eastAsia="zh-CN"/>
        </w:rPr>
        <w:t>-2021中6.4的规定。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6.4.2　即食食品冷却与内包装或分装专间应分开设置。</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6.4.3　应设置工用具专用的清洗消毒场所。</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6.4.4　应配备独立空调设施、空气消毒设施。配送集体用餐的，分装专间空气洁净度应符合附录A，表A.2的要求，可安装空气过滤净化设施及压差表，并保持专间内的正压，进气口应距地面或楼面2米以上，并有过滤设备。采用紫外线灯消毒的应定期对紫外线辐照强度进行监测，辐射强度应≥70μw/cm²。</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6.4.5　配送集体用餐的分装专间应配备热藏设施，食品中心温度应控制在60℃以上；并配备食品传送带，通过传送带直接传递成品。</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6.4.6　应定期对专间内的操作人员体表、手部卫生及空气质量洁净度进行监测。</w:t>
      </w:r>
      <w:r>
        <w:rPr>
          <w:rFonts w:hint="default" w:ascii="原版宋体" w:hAnsi="原版宋体" w:cs="Times New Roman"/>
          <w:sz w:val="21"/>
          <w:szCs w:val="21"/>
          <w:lang w:eastAsia="zh-CN"/>
        </w:rPr>
        <w:t>清洁作业区</w:t>
      </w:r>
      <w:r>
        <w:rPr>
          <w:rFonts w:hint="default" w:ascii="原版宋体" w:hAnsi="原版宋体" w:cs="Times New Roman"/>
          <w:lang w:eastAsia="zh-CN"/>
        </w:rPr>
        <w:t>加工过程监测要求见</w:t>
      </w:r>
      <w:r>
        <w:rPr>
          <w:rFonts w:hint="default" w:ascii="原版宋体" w:hAnsi="原版宋体" w:cs="Times New Roman"/>
          <w:sz w:val="21"/>
          <w:lang w:eastAsia="zh-CN"/>
        </w:rPr>
        <w:t>附录A，表A.1。</w:t>
      </w:r>
      <w:r>
        <w:rPr>
          <w:rFonts w:hint="default" w:ascii="原版宋体" w:hAnsi="原版宋体" w:cs="Times New Roman"/>
          <w:sz w:val="21"/>
          <w:szCs w:val="21"/>
          <w:lang w:eastAsia="zh-CN"/>
        </w:rPr>
        <w:t>清洁作业区的空气洁净度</w:t>
      </w:r>
      <w:r>
        <w:rPr>
          <w:rFonts w:hint="default" w:ascii="原版宋体" w:hAnsi="原版宋体" w:cs="Times New Roman"/>
          <w:lang w:eastAsia="zh-CN"/>
        </w:rPr>
        <w:t>监测</w:t>
      </w:r>
      <w:r>
        <w:rPr>
          <w:rFonts w:hint="default" w:ascii="原版宋体" w:hAnsi="原版宋体" w:cs="Times New Roman"/>
          <w:sz w:val="21"/>
          <w:szCs w:val="21"/>
          <w:lang w:eastAsia="zh-CN"/>
        </w:rPr>
        <w:t>要求</w:t>
      </w:r>
      <w:r>
        <w:rPr>
          <w:rFonts w:hint="default" w:ascii="原版宋体" w:hAnsi="原版宋体" w:cs="Times New Roman"/>
          <w:lang w:eastAsia="zh-CN"/>
        </w:rPr>
        <w:t>见</w:t>
      </w:r>
      <w:r>
        <w:rPr>
          <w:rFonts w:hint="default" w:ascii="原版宋体" w:hAnsi="原版宋体" w:cs="Times New Roman"/>
          <w:sz w:val="21"/>
          <w:lang w:eastAsia="zh-CN"/>
        </w:rPr>
        <w:t>附录A，表A.2。</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6.5　食品添加剂的使用</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6.5.1　应符合</w:t>
      </w:r>
      <w:r>
        <w:rPr>
          <w:rFonts w:ascii="原版宋体" w:hAnsi="原版宋体" w:cs="Times New Roman"/>
          <w:sz w:val="21"/>
          <w:lang w:eastAsia="zh-CN"/>
        </w:rPr>
        <w:t>GB 31654</w:t>
      </w:r>
      <w:r>
        <w:rPr>
          <w:rFonts w:hint="default" w:ascii="原版宋体" w:hAnsi="原版宋体" w:cs="Times New Roman"/>
          <w:sz w:val="21"/>
          <w:lang w:eastAsia="zh-CN"/>
        </w:rPr>
        <w:t>-2021中6.5的规定。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6.5.2　不得使用防腐剂。</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6.5.3　用于食品添加剂称量的工具应定期进行校验，确保称量的准确性。</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6.6　冷却</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6.6.1　应符合</w:t>
      </w:r>
      <w:r>
        <w:rPr>
          <w:rFonts w:ascii="原版宋体" w:hAnsi="原版宋体" w:cs="Times New Roman"/>
          <w:sz w:val="21"/>
          <w:lang w:eastAsia="zh-CN"/>
        </w:rPr>
        <w:t>GB 31654</w:t>
      </w:r>
      <w:r>
        <w:rPr>
          <w:rFonts w:hint="default" w:ascii="原版宋体" w:hAnsi="原版宋体" w:cs="Times New Roman"/>
          <w:sz w:val="21"/>
          <w:lang w:eastAsia="zh-CN"/>
        </w:rPr>
        <w:t>-2021中6.6的规定。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6.6.2　采用专间方式冷却的，应配备降温、杀菌、温度显示装置等设施。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6.6.3　经熟制后的食品应在2h内将中心温度降至10℃及以下。</w:t>
      </w:r>
    </w:p>
    <w:p>
      <w:pPr>
        <w:pStyle w:val="3"/>
        <w:rPr>
          <w:rFonts w:ascii="原版宋体" w:hAnsi="原版宋体" w:eastAsia="黑体" w:cs="Times New Roman"/>
          <w:b w:val="0"/>
          <w:bCs w:val="0"/>
          <w:sz w:val="21"/>
          <w:szCs w:val="21"/>
        </w:rPr>
      </w:pPr>
      <w:bookmarkStart w:id="18" w:name="_Toc16001"/>
      <w:r>
        <w:rPr>
          <w:rFonts w:hint="default" w:ascii="原版宋体" w:hAnsi="原版宋体" w:eastAsia="黑体" w:cs="Times New Roman"/>
          <w:b w:val="0"/>
          <w:bCs w:val="0"/>
          <w:sz w:val="21"/>
          <w:szCs w:val="21"/>
        </w:rPr>
        <w:t>7  检验与留样</w:t>
      </w:r>
      <w:bookmarkEnd w:id="18"/>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7.1　</w:t>
      </w:r>
      <w:r>
        <w:rPr>
          <w:rFonts w:hint="eastAsia" w:ascii="原版宋体" w:hAnsi="原版宋体" w:eastAsia="黑体" w:cs="Times New Roman"/>
          <w:szCs w:val="21"/>
        </w:rPr>
        <w:t>检验</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7.1.1　应设置与加工制作的食品品种相适应的检验室，检验室的面积和布局应当与加工规模、品种、检验项目相适应。</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7.1.2　开展微生物检验应设有无菌室，不少于4m²。无菌室应设置通过式缓冲间，并配备相应的洗手更衣消毒设施。应具备适当的通风和温湿度调节设施。</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7.1.3　应配备与检验能力和工作量相适应的仪器设备。检验仪器设备和检验用计量器具应按照有关规定定期进行校验。</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7.1.4　应自行或委托有资质的第三方检验机构对食品、加工环节进行检验。</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7.1.5　应每日对食品原料和产品进行感官检验，对食品原料的农药残留或兽药残留等开展快速检测。</w:t>
      </w:r>
    </w:p>
    <w:p>
      <w:pPr>
        <w:pStyle w:val="26"/>
        <w:tabs>
          <w:tab w:val="left" w:pos="850"/>
        </w:tabs>
        <w:spacing w:line="320" w:lineRule="exact"/>
        <w:ind w:left="0" w:firstLine="0"/>
        <w:jc w:val="both"/>
        <w:rPr>
          <w:rFonts w:ascii="原版宋体" w:hAnsi="原版宋体" w:cs="Times New Roman"/>
          <w:color w:val="000000"/>
          <w:sz w:val="21"/>
          <w:lang w:eastAsia="zh-CN"/>
        </w:rPr>
      </w:pPr>
      <w:r>
        <w:rPr>
          <w:rFonts w:hint="default" w:ascii="原版宋体" w:hAnsi="原版宋体" w:cs="Times New Roman"/>
          <w:sz w:val="21"/>
          <w:lang w:eastAsia="zh-CN"/>
        </w:rPr>
        <w:t>7.1.6　</w:t>
      </w:r>
      <w:r>
        <w:rPr>
          <w:rFonts w:hint="default" w:ascii="原版宋体" w:hAnsi="原版宋体" w:cs="Times New Roman"/>
          <w:color w:val="000000"/>
          <w:sz w:val="21"/>
          <w:lang w:eastAsia="zh-CN"/>
        </w:rPr>
        <w:t>应定期对产品进行抽样检验，及时发现加工过程可能存在的风险，消除隐患。</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7.2　留样</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7.2.1　每批食品均应有留样，留样要求应符合GB 31654-2021的规定。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7.2.2　配送集体用餐的即食食品应每餐留样，每个配送点应单独留样。</w:t>
      </w:r>
    </w:p>
    <w:p>
      <w:pPr>
        <w:pStyle w:val="3"/>
        <w:rPr>
          <w:rFonts w:ascii="原版宋体" w:hAnsi="原版宋体" w:eastAsia="黑体" w:cs="Times New Roman"/>
          <w:b w:val="0"/>
          <w:bCs w:val="0"/>
          <w:sz w:val="21"/>
          <w:szCs w:val="21"/>
        </w:rPr>
      </w:pPr>
      <w:bookmarkStart w:id="19" w:name="_Toc8119"/>
      <w:r>
        <w:rPr>
          <w:rFonts w:hint="default" w:ascii="原版宋体" w:hAnsi="原版宋体" w:eastAsia="黑体" w:cs="Times New Roman"/>
          <w:b w:val="0"/>
          <w:bCs w:val="0"/>
          <w:sz w:val="21"/>
          <w:szCs w:val="21"/>
        </w:rPr>
        <w:t>8  产品贮存与配送</w:t>
      </w:r>
      <w:bookmarkEnd w:id="19"/>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8.1　贮存</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8.1.1　应定期检查贮存场所中的食品，如有异常应及时处理。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8.1.2　应定期对贮存场所的温度进行监测，并做好记录。</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8.1.3　待配送食品包装后应在0℃～8℃范围内冷藏或-18℃以下冷冻贮存，热加工即食产品应在60℃以上贮存。</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8.2　配送</w:t>
      </w:r>
    </w:p>
    <w:p>
      <w:pPr>
        <w:pStyle w:val="26"/>
        <w:tabs>
          <w:tab w:val="left" w:pos="850"/>
        </w:tabs>
        <w:spacing w:line="320" w:lineRule="exact"/>
        <w:ind w:left="0" w:firstLine="0"/>
        <w:jc w:val="both"/>
        <w:rPr>
          <w:rFonts w:ascii="原版宋体" w:hAnsi="原版宋体" w:cs="Times New Roman"/>
          <w:sz w:val="21"/>
          <w:lang w:eastAsia="zh-CN"/>
        </w:rPr>
      </w:pPr>
      <w:bookmarkStart w:id="20" w:name="_Toc19035"/>
      <w:r>
        <w:rPr>
          <w:rFonts w:hint="default" w:ascii="原版宋体" w:hAnsi="原版宋体" w:cs="Times New Roman"/>
          <w:sz w:val="21"/>
          <w:lang w:eastAsia="zh-CN"/>
        </w:rPr>
        <w:t>8.2.1　应根据产品品种、配送范围和数量配备相适应的封闭式专用配送车辆，车辆内部结构应便于清洗和消毒。</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8.2.2　配送车辆应防雨、防尘，保持清洁，每次配送食品前必须进行清洗消毒，配送过程避免日光直射，配送后进行清洗，防止食品在配送过程中受到污染。</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8.2.3　配送和装卸食品的容器、工具和设备应当安全、无害，保持清洁，不得将食品与有毒、有害物品一同运输，防止食品污染。</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8.2.4　冷链食品在配送过程中，食品配送温度应低于8℃。冷冻食品配送过程最高温度不得高于-12℃。热链食品在配送过程中，食品中心温度不得低于60℃。</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8.2.5　配送集体用餐的车辆应配备符合条件的冷藏装置或保温设备，使配送过程中食品的中心温度保持在8℃以下或60℃以上。</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9　清洁维护与废弃物管理</w:t>
      </w:r>
    </w:p>
    <w:p>
      <w:pPr>
        <w:pStyle w:val="26"/>
        <w:tabs>
          <w:tab w:val="left" w:pos="850"/>
        </w:tabs>
        <w:spacing w:line="320" w:lineRule="exact"/>
        <w:ind w:left="0" w:firstLine="416" w:firstLineChars="200"/>
        <w:jc w:val="both"/>
        <w:rPr>
          <w:rFonts w:ascii="原版宋体" w:hAnsi="原版宋体" w:cs="Times New Roman"/>
          <w:lang w:eastAsia="zh-CN"/>
        </w:rPr>
      </w:pPr>
      <w:r>
        <w:rPr>
          <w:rFonts w:ascii="原版宋体" w:hAnsi="原版宋体" w:cs="Times New Roman"/>
          <w:spacing w:val="-1"/>
          <w:sz w:val="21"/>
          <w:szCs w:val="21"/>
          <w:lang w:eastAsia="zh-CN"/>
        </w:rPr>
        <w:t>应符合</w:t>
      </w:r>
      <w:r>
        <w:rPr>
          <w:rFonts w:hint="default" w:ascii="原版宋体" w:hAnsi="原版宋体" w:cs="Times New Roman"/>
          <w:spacing w:val="-1"/>
          <w:sz w:val="21"/>
          <w:szCs w:val="21"/>
          <w:lang w:eastAsia="zh-CN"/>
        </w:rPr>
        <w:t>GB 31654-2021</w:t>
      </w:r>
      <w:r>
        <w:rPr>
          <w:rFonts w:ascii="原版宋体" w:hAnsi="原版宋体" w:cs="Times New Roman"/>
          <w:spacing w:val="-1"/>
          <w:sz w:val="21"/>
          <w:szCs w:val="21"/>
          <w:lang w:eastAsia="zh-CN"/>
        </w:rPr>
        <w:t>的</w:t>
      </w:r>
      <w:r>
        <w:rPr>
          <w:rFonts w:hint="eastAsia" w:ascii="原版宋体" w:hAnsi="原版宋体" w:cs="Times New Roman"/>
          <w:spacing w:val="-1"/>
          <w:sz w:val="21"/>
          <w:szCs w:val="21"/>
          <w:lang w:eastAsia="zh-CN"/>
        </w:rPr>
        <w:t>相关</w:t>
      </w:r>
      <w:r>
        <w:rPr>
          <w:rFonts w:ascii="原版宋体" w:hAnsi="原版宋体" w:cs="Times New Roman"/>
          <w:spacing w:val="-1"/>
          <w:sz w:val="21"/>
          <w:szCs w:val="21"/>
          <w:lang w:eastAsia="zh-CN"/>
        </w:rPr>
        <w:t>规定。</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10  有害生物防治</w:t>
      </w:r>
    </w:p>
    <w:p>
      <w:pPr>
        <w:pStyle w:val="26"/>
        <w:tabs>
          <w:tab w:val="left" w:pos="850"/>
        </w:tabs>
        <w:spacing w:line="320" w:lineRule="exact"/>
        <w:ind w:left="0" w:firstLine="416" w:firstLineChars="200"/>
        <w:jc w:val="both"/>
        <w:rPr>
          <w:rFonts w:ascii="原版宋体" w:hAnsi="原版宋体" w:eastAsia="仿宋_GB2312" w:cs="Times New Roman"/>
          <w:lang w:eastAsia="zh-CN"/>
        </w:rPr>
      </w:pPr>
      <w:r>
        <w:rPr>
          <w:rFonts w:ascii="原版宋体" w:hAnsi="原版宋体" w:cs="Times New Roman"/>
          <w:spacing w:val="-1"/>
          <w:sz w:val="21"/>
          <w:szCs w:val="21"/>
          <w:lang w:eastAsia="zh-CN"/>
        </w:rPr>
        <w:t>应符合</w:t>
      </w:r>
      <w:r>
        <w:rPr>
          <w:rFonts w:hint="default" w:ascii="原版宋体" w:hAnsi="原版宋体" w:cs="Times New Roman"/>
          <w:spacing w:val="-1"/>
          <w:sz w:val="21"/>
          <w:szCs w:val="21"/>
          <w:lang w:eastAsia="zh-CN"/>
        </w:rPr>
        <w:t>GB 31654-2021</w:t>
      </w:r>
      <w:r>
        <w:rPr>
          <w:rFonts w:ascii="原版宋体" w:hAnsi="原版宋体" w:cs="Times New Roman"/>
          <w:spacing w:val="-1"/>
          <w:sz w:val="21"/>
          <w:szCs w:val="21"/>
          <w:lang w:eastAsia="zh-CN"/>
        </w:rPr>
        <w:t>的</w:t>
      </w:r>
      <w:r>
        <w:rPr>
          <w:rFonts w:hint="eastAsia" w:ascii="原版宋体" w:hAnsi="原版宋体" w:cs="Times New Roman"/>
          <w:spacing w:val="-1"/>
          <w:sz w:val="21"/>
          <w:szCs w:val="21"/>
          <w:lang w:eastAsia="zh-CN"/>
        </w:rPr>
        <w:t>相关</w:t>
      </w:r>
      <w:r>
        <w:rPr>
          <w:rFonts w:ascii="原版宋体" w:hAnsi="原版宋体" w:cs="Times New Roman"/>
          <w:spacing w:val="-1"/>
          <w:sz w:val="21"/>
          <w:szCs w:val="21"/>
          <w:lang w:eastAsia="zh-CN"/>
        </w:rPr>
        <w:t>规定。</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11　人员健康与卫生</w:t>
      </w:r>
    </w:p>
    <w:p>
      <w:pPr>
        <w:pStyle w:val="26"/>
        <w:tabs>
          <w:tab w:val="left" w:pos="850"/>
        </w:tabs>
        <w:spacing w:line="320" w:lineRule="exact"/>
        <w:ind w:left="0" w:firstLine="416" w:firstLineChars="200"/>
        <w:jc w:val="both"/>
        <w:rPr>
          <w:rFonts w:ascii="原版宋体" w:hAnsi="原版宋体" w:eastAsia="仿宋_GB2312" w:cs="Times New Roman"/>
          <w:lang w:eastAsia="zh-CN"/>
        </w:rPr>
      </w:pPr>
      <w:r>
        <w:rPr>
          <w:rFonts w:ascii="原版宋体" w:hAnsi="原版宋体" w:cs="Times New Roman"/>
          <w:spacing w:val="-1"/>
          <w:sz w:val="21"/>
          <w:szCs w:val="21"/>
          <w:lang w:eastAsia="zh-CN"/>
        </w:rPr>
        <w:t>应符合</w:t>
      </w:r>
      <w:r>
        <w:rPr>
          <w:rFonts w:hint="default" w:ascii="原版宋体" w:hAnsi="原版宋体" w:cs="Times New Roman"/>
          <w:spacing w:val="-1"/>
          <w:sz w:val="21"/>
          <w:szCs w:val="21"/>
          <w:lang w:eastAsia="zh-CN"/>
        </w:rPr>
        <w:t>GB 31654-2021</w:t>
      </w:r>
      <w:r>
        <w:rPr>
          <w:rFonts w:ascii="原版宋体" w:hAnsi="原版宋体" w:cs="Times New Roman"/>
          <w:spacing w:val="-1"/>
          <w:sz w:val="21"/>
          <w:szCs w:val="21"/>
          <w:lang w:eastAsia="zh-CN"/>
        </w:rPr>
        <w:t>的</w:t>
      </w:r>
      <w:r>
        <w:rPr>
          <w:rFonts w:hint="eastAsia" w:ascii="原版宋体" w:hAnsi="原版宋体" w:cs="Times New Roman"/>
          <w:spacing w:val="-1"/>
          <w:sz w:val="21"/>
          <w:szCs w:val="21"/>
          <w:lang w:eastAsia="zh-CN"/>
        </w:rPr>
        <w:t>相关</w:t>
      </w:r>
      <w:r>
        <w:rPr>
          <w:rFonts w:ascii="原版宋体" w:hAnsi="原版宋体" w:cs="Times New Roman"/>
          <w:spacing w:val="-1"/>
          <w:sz w:val="21"/>
          <w:szCs w:val="21"/>
          <w:lang w:eastAsia="zh-CN"/>
        </w:rPr>
        <w:t>规定。</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12　培训</w:t>
      </w:r>
    </w:p>
    <w:p>
      <w:pPr>
        <w:pStyle w:val="26"/>
        <w:tabs>
          <w:tab w:val="left" w:pos="850"/>
        </w:tabs>
        <w:spacing w:line="320" w:lineRule="exact"/>
        <w:ind w:left="0" w:firstLine="416" w:firstLineChars="200"/>
        <w:jc w:val="both"/>
        <w:rPr>
          <w:rFonts w:ascii="原版宋体" w:hAnsi="原版宋体" w:eastAsia="仿宋_GB2312" w:cs="Times New Roman"/>
          <w:lang w:eastAsia="zh-CN"/>
        </w:rPr>
      </w:pPr>
      <w:r>
        <w:rPr>
          <w:rFonts w:ascii="原版宋体" w:hAnsi="原版宋体" w:cs="Times New Roman"/>
          <w:spacing w:val="-1"/>
          <w:sz w:val="21"/>
          <w:szCs w:val="21"/>
          <w:lang w:eastAsia="zh-CN"/>
        </w:rPr>
        <w:t>应符合</w:t>
      </w:r>
      <w:r>
        <w:rPr>
          <w:rFonts w:hint="default" w:ascii="原版宋体" w:hAnsi="原版宋体" w:cs="Times New Roman"/>
          <w:spacing w:val="-1"/>
          <w:sz w:val="21"/>
          <w:szCs w:val="21"/>
          <w:lang w:eastAsia="zh-CN"/>
        </w:rPr>
        <w:t>GB 31654-2021</w:t>
      </w:r>
      <w:r>
        <w:rPr>
          <w:rFonts w:ascii="原版宋体" w:hAnsi="原版宋体" w:cs="Times New Roman"/>
          <w:spacing w:val="-1"/>
          <w:sz w:val="21"/>
          <w:szCs w:val="21"/>
          <w:lang w:eastAsia="zh-CN"/>
        </w:rPr>
        <w:t>的</w:t>
      </w:r>
      <w:r>
        <w:rPr>
          <w:rFonts w:hint="eastAsia" w:ascii="原版宋体" w:hAnsi="原版宋体" w:cs="Times New Roman"/>
          <w:spacing w:val="-1"/>
          <w:sz w:val="21"/>
          <w:szCs w:val="21"/>
          <w:lang w:eastAsia="zh-CN"/>
        </w:rPr>
        <w:t>相关</w:t>
      </w:r>
      <w:r>
        <w:rPr>
          <w:rFonts w:ascii="原版宋体" w:hAnsi="原版宋体" w:cs="Times New Roman"/>
          <w:spacing w:val="-1"/>
          <w:sz w:val="21"/>
          <w:szCs w:val="21"/>
          <w:lang w:eastAsia="zh-CN"/>
        </w:rPr>
        <w:t>规定。</w:t>
      </w:r>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13　食品安全管理</w:t>
      </w:r>
      <w:bookmarkEnd w:id="20"/>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13.1　机构与人员</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13.1.1　应设立食品安全管理机构，负责企业的食品安全管理，负责加工制作全过程的食品安全质量控制。</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13.1.2　应配备</w:t>
      </w:r>
      <w:r>
        <w:rPr>
          <w:rFonts w:ascii="原版宋体" w:hAnsi="原版宋体" w:cs="Times New Roman"/>
          <w:spacing w:val="-1"/>
          <w:sz w:val="21"/>
          <w:szCs w:val="21"/>
          <w:lang w:eastAsia="zh-CN"/>
        </w:rPr>
        <w:t>具</w:t>
      </w:r>
      <w:r>
        <w:rPr>
          <w:rFonts w:hint="eastAsia" w:ascii="原版宋体" w:hAnsi="原版宋体" w:cs="Times New Roman"/>
          <w:spacing w:val="-1"/>
          <w:sz w:val="21"/>
          <w:szCs w:val="21"/>
          <w:lang w:eastAsia="zh-CN"/>
        </w:rPr>
        <w:t>有</w:t>
      </w:r>
      <w:r>
        <w:rPr>
          <w:rFonts w:ascii="原版宋体" w:hAnsi="原版宋体" w:cs="Times New Roman"/>
          <w:spacing w:val="-1"/>
          <w:sz w:val="21"/>
          <w:szCs w:val="21"/>
          <w:lang w:eastAsia="zh-CN"/>
        </w:rPr>
        <w:t>食品安全管理能力和2年以上食品安全工作经历</w:t>
      </w:r>
      <w:r>
        <w:rPr>
          <w:rFonts w:hint="eastAsia" w:ascii="原版宋体" w:hAnsi="原版宋体" w:cs="Times New Roman"/>
          <w:spacing w:val="-1"/>
          <w:sz w:val="21"/>
          <w:szCs w:val="21"/>
          <w:lang w:eastAsia="zh-CN"/>
        </w:rPr>
        <w:t>的</w:t>
      </w:r>
      <w:r>
        <w:rPr>
          <w:rFonts w:hint="default" w:ascii="原版宋体" w:hAnsi="原版宋体" w:cs="Times New Roman"/>
          <w:sz w:val="21"/>
          <w:lang w:eastAsia="zh-CN"/>
        </w:rPr>
        <w:t>专职食品安全管理人员，并</w:t>
      </w:r>
      <w:r>
        <w:rPr>
          <w:rFonts w:ascii="原版宋体" w:hAnsi="原版宋体" w:cs="Times New Roman"/>
          <w:spacing w:val="-1"/>
          <w:sz w:val="21"/>
          <w:szCs w:val="21"/>
          <w:lang w:eastAsia="zh-CN"/>
        </w:rPr>
        <w:t>定期接受培训和考核</w:t>
      </w:r>
      <w:r>
        <w:rPr>
          <w:rFonts w:hint="eastAsia" w:ascii="原版宋体" w:hAnsi="原版宋体" w:cs="Times New Roman"/>
          <w:spacing w:val="-1"/>
          <w:sz w:val="21"/>
          <w:szCs w:val="21"/>
          <w:lang w:eastAsia="zh-CN"/>
        </w:rPr>
        <w:t>。</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13.1.3　应配备与检验项目相适应的检验人员，负责食品与环境的检测。</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13.2　管理制度和事故处置</w:t>
      </w:r>
    </w:p>
    <w:p>
      <w:pPr>
        <w:pStyle w:val="26"/>
        <w:tabs>
          <w:tab w:val="left" w:pos="850"/>
        </w:tabs>
        <w:spacing w:line="320" w:lineRule="exact"/>
        <w:ind w:left="735" w:leftChars="200" w:hanging="315" w:hangingChars="150"/>
        <w:jc w:val="both"/>
        <w:rPr>
          <w:rFonts w:ascii="原版宋体" w:hAnsi="原版宋体" w:cs="Times New Roman"/>
          <w:spacing w:val="-1"/>
          <w:sz w:val="21"/>
          <w:szCs w:val="21"/>
          <w:lang w:eastAsia="zh-CN"/>
        </w:rPr>
      </w:pPr>
      <w:r>
        <w:rPr>
          <w:rFonts w:hint="default" w:ascii="原版宋体" w:hAnsi="原版宋体" w:cs="Times New Roman"/>
          <w:sz w:val="21"/>
          <w:lang w:eastAsia="zh-CN"/>
        </w:rPr>
        <w:t>应符合</w:t>
      </w:r>
      <w:r>
        <w:rPr>
          <w:rFonts w:ascii="原版宋体" w:hAnsi="原版宋体" w:cs="Times New Roman"/>
          <w:spacing w:val="-1"/>
          <w:sz w:val="21"/>
          <w:szCs w:val="21"/>
          <w:lang w:eastAsia="zh-CN"/>
        </w:rPr>
        <w:t>GB 31654</w:t>
      </w:r>
      <w:r>
        <w:rPr>
          <w:rFonts w:hint="eastAsia" w:ascii="原版宋体" w:hAnsi="原版宋体" w:cs="Times New Roman"/>
          <w:spacing w:val="-1"/>
          <w:sz w:val="21"/>
          <w:szCs w:val="21"/>
          <w:lang w:eastAsia="zh-CN"/>
        </w:rPr>
        <w:t>-2021的相关规定。</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13.3　食品安全自查</w:t>
      </w:r>
    </w:p>
    <w:p>
      <w:pPr>
        <w:pStyle w:val="26"/>
        <w:tabs>
          <w:tab w:val="left" w:pos="850"/>
        </w:tabs>
        <w:spacing w:line="320" w:lineRule="exact"/>
        <w:ind w:left="0" w:firstLine="416" w:firstLineChars="200"/>
        <w:jc w:val="both"/>
        <w:rPr>
          <w:rFonts w:ascii="原版宋体" w:hAnsi="原版宋体" w:cs="Times New Roman"/>
          <w:spacing w:val="-1"/>
          <w:sz w:val="21"/>
          <w:szCs w:val="21"/>
          <w:lang w:eastAsia="zh-CN"/>
        </w:rPr>
      </w:pPr>
      <w:r>
        <w:rPr>
          <w:rFonts w:hint="eastAsia" w:ascii="原版宋体" w:hAnsi="原版宋体" w:cs="Times New Roman"/>
          <w:spacing w:val="-1"/>
          <w:sz w:val="21"/>
          <w:szCs w:val="21"/>
          <w:lang w:eastAsia="zh-CN"/>
        </w:rPr>
        <w:t>应</w:t>
      </w:r>
      <w:r>
        <w:rPr>
          <w:rFonts w:hint="default" w:ascii="原版宋体" w:hAnsi="原版宋体" w:cs="Times New Roman"/>
          <w:spacing w:val="-1"/>
          <w:sz w:val="21"/>
          <w:szCs w:val="21"/>
          <w:lang w:eastAsia="zh-CN"/>
        </w:rPr>
        <w:t>符合GB 31654-2021的相</w:t>
      </w:r>
      <w:r>
        <w:rPr>
          <w:rFonts w:hint="eastAsia" w:ascii="原版宋体" w:hAnsi="原版宋体" w:cs="Times New Roman"/>
          <w:spacing w:val="-1"/>
          <w:sz w:val="21"/>
          <w:szCs w:val="21"/>
          <w:lang w:eastAsia="zh-CN"/>
        </w:rPr>
        <w:t>关规定。</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13.4　信息公示</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13.4.1　应建立食品安全信息公开制度，在经营场所醒目位置或通过信息化手段公示食品经营许可证、从业人员健康证明、主要食品原材料进货来源、日常监督检查要点表等信息。</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13.4.2　使用食品添加剂的，应公示</w:t>
      </w:r>
      <w:r>
        <w:rPr>
          <w:rFonts w:ascii="原版宋体" w:hAnsi="原版宋体" w:cs="Times New Roman"/>
          <w:spacing w:val="-1"/>
          <w:sz w:val="21"/>
          <w:szCs w:val="21"/>
          <w:lang w:eastAsia="zh-CN"/>
        </w:rPr>
        <w:t>其添加的品种</w:t>
      </w:r>
      <w:r>
        <w:rPr>
          <w:rFonts w:hint="eastAsia" w:ascii="原版宋体" w:hAnsi="原版宋体" w:cs="Times New Roman"/>
          <w:spacing w:val="-1"/>
          <w:sz w:val="21"/>
          <w:szCs w:val="21"/>
          <w:lang w:eastAsia="zh-CN"/>
        </w:rPr>
        <w:t>、</w:t>
      </w:r>
      <w:r>
        <w:rPr>
          <w:rFonts w:ascii="原版宋体" w:hAnsi="原版宋体" w:cs="Times New Roman"/>
          <w:spacing w:val="-1"/>
          <w:sz w:val="21"/>
          <w:szCs w:val="21"/>
          <w:lang w:eastAsia="zh-CN"/>
        </w:rPr>
        <w:t>使用</w:t>
      </w:r>
      <w:r>
        <w:rPr>
          <w:rFonts w:hint="eastAsia" w:ascii="原版宋体" w:hAnsi="原版宋体" w:cs="Times New Roman"/>
          <w:spacing w:val="-1"/>
          <w:sz w:val="21"/>
          <w:szCs w:val="21"/>
          <w:lang w:eastAsia="zh-CN"/>
        </w:rPr>
        <w:t>范围</w:t>
      </w:r>
      <w:r>
        <w:rPr>
          <w:rFonts w:ascii="原版宋体" w:hAnsi="原版宋体" w:cs="Times New Roman"/>
          <w:spacing w:val="-1"/>
          <w:sz w:val="21"/>
          <w:szCs w:val="21"/>
          <w:lang w:eastAsia="zh-CN"/>
        </w:rPr>
        <w:t>和量</w:t>
      </w:r>
      <w:r>
        <w:rPr>
          <w:rFonts w:hint="eastAsia" w:ascii="原版宋体" w:hAnsi="原版宋体" w:cs="Times New Roman"/>
          <w:spacing w:val="-1"/>
          <w:sz w:val="21"/>
          <w:szCs w:val="21"/>
          <w:lang w:eastAsia="zh-CN"/>
        </w:rPr>
        <w:t>。</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13.4.3　应通过“明厨亮灶”视频形式公示食品加工制作的全过程，并与当地食品安全监管部门的监管平台对接。</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13.5　包材（容器）管理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13.5.1　包装材料应清洁、无毒且符合国家相关安全标准的规定。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13.5.2　内包装材料应能在正常贮存、配送中充分保护食品免受污染，防止损坏。</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13.5.3　重复使用的包装材料（容器）在使用前应彻底清洗，盛装直接入口食品的应消毒。</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13.5.4　一次性内包装材料应脱去外包装经消毒后进入专间。</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13.5.5　用于盛装食品的容器禁止直接放置于地面。</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13.6　标签管理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13.6.1　应在配送食品的包装或食品容器上标明食品名称、 加工单位、食品经营许可证号、 制作日期及时间、 保存条件、 保质期、 加工方法与要求等。</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13.6.2　食品加工过程中使用食品添加剂的， 应在标签上注明。</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13.6.3　非即食的热加工品种应在标签上明示“食用前应彻底加热” 。</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13.6.4　热加工即食食品应在包装加贴“食安封签”，标注制作时间、食用时限、加工单位、联系方式等。　</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13.7　有效期管理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13.7.1　应根据加工工艺、储存条件等特点和国家相应标准的规定，制定原料、生制半成品、热制半成品保质期，必要时应进行产品保质期试验和验证，并严格执行保质期规定。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13.7.2　即食食品应控制在2h内食用。</w:t>
      </w:r>
    </w:p>
    <w:p>
      <w:pPr>
        <w:spacing w:before="156" w:beforeLines="50" w:after="156" w:afterLines="50"/>
        <w:outlineLvl w:val="2"/>
        <w:rPr>
          <w:rFonts w:ascii="原版宋体" w:hAnsi="原版宋体" w:eastAsia="黑体" w:cs="Times New Roman"/>
          <w:szCs w:val="21"/>
        </w:rPr>
      </w:pPr>
      <w:r>
        <w:rPr>
          <w:rFonts w:hint="default" w:ascii="原版宋体" w:hAnsi="原版宋体" w:eastAsia="黑体" w:cs="Times New Roman"/>
          <w:szCs w:val="21"/>
        </w:rPr>
        <w:t>13.8　</w:t>
      </w:r>
      <w:r>
        <w:rPr>
          <w:rFonts w:ascii="原版宋体" w:hAnsi="原版宋体" w:eastAsia="黑体" w:cs="Times New Roman"/>
          <w:szCs w:val="21"/>
        </w:rPr>
        <w:t>有毒有害物品管理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13.8.1　杀虫剂、杀鼠剂及其他有毒有害物品的存放应有固定的场所并上锁，与食品贮存场所分间设置。有明显的警示标识，并有专人保管。</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 xml:space="preserve">13.8.2　有毒有害物品的采购及使用应有详细记录， 包括使用时间、使用人、使用区域、 使用量等。 </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13.8.3　食品处理区使用的洗涤剂、消毒剂等有害物品应定位或存放在专用的设施内，并有明显标识。</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13.8.4　应避免有毒有害物品污染食品和与食品接触物品的表面，一旦出现污染情况，应彻底清洗，消除污染。</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13.8.5　使用杀虫剂杀鼠剂进行除虫灭害， 应由专人按照规定的使用方法进行。应选择具备资质的有害动物防治机构进行除虫灭害。</w:t>
      </w:r>
      <w:bookmarkStart w:id="21" w:name="_Toc480"/>
    </w:p>
    <w:p>
      <w:pPr>
        <w:pStyle w:val="3"/>
        <w:rPr>
          <w:rFonts w:ascii="原版宋体" w:hAnsi="原版宋体" w:eastAsia="黑体" w:cs="Times New Roman"/>
          <w:b w:val="0"/>
          <w:bCs w:val="0"/>
          <w:sz w:val="21"/>
          <w:szCs w:val="21"/>
        </w:rPr>
      </w:pPr>
      <w:r>
        <w:rPr>
          <w:rFonts w:hint="default" w:ascii="原版宋体" w:hAnsi="原版宋体" w:eastAsia="黑体" w:cs="Times New Roman"/>
          <w:b w:val="0"/>
          <w:bCs w:val="0"/>
          <w:sz w:val="21"/>
          <w:szCs w:val="21"/>
        </w:rPr>
        <w:t>14  追溯与召回</w:t>
      </w:r>
      <w:bookmarkEnd w:id="21"/>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14.1　应建立产品追溯制度，确保对产品可进行有效追溯。</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14.2　应及时收集汇总所配送产品的缺陷信息，包括不符合食品安全规定和标准，存在或可能存在健康安全隐患的食品的品种、数量、不符合指标等。</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14.3　应建立产品召回制度。当发现某一批次或类别的产品含有或可能含有对消费者健康造成危害的因素时，应按照国家相关规定启动产品召回程序，及时向相关部门通告。</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14.4　召回食品应采用染色、毁形等措施予以销毁，采用照片或视频方式记录销毁过程。应如实记录发生召回的食品名称、批次、规格、数量、发生召回的原因、处理销毁方式及后续整改情况等内容。</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14.5　不得将回收后的食品加工后再次使用。</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14.6　宜采用大数据技术和平台，做好产品追溯和召回工作。</w:t>
      </w:r>
    </w:p>
    <w:p>
      <w:pPr>
        <w:pStyle w:val="3"/>
        <w:rPr>
          <w:rFonts w:ascii="原版宋体" w:hAnsi="原版宋体" w:eastAsia="黑体" w:cs="Times New Roman"/>
          <w:b w:val="0"/>
          <w:bCs w:val="0"/>
          <w:sz w:val="21"/>
          <w:szCs w:val="21"/>
        </w:rPr>
      </w:pPr>
      <w:bookmarkStart w:id="22" w:name="_Toc3532"/>
      <w:r>
        <w:rPr>
          <w:rFonts w:hint="default" w:ascii="原版宋体" w:hAnsi="原版宋体" w:eastAsia="黑体" w:cs="Times New Roman"/>
          <w:b w:val="0"/>
          <w:bCs w:val="0"/>
          <w:sz w:val="21"/>
          <w:szCs w:val="21"/>
        </w:rPr>
        <w:t>15  记录与文件</w:t>
      </w:r>
      <w:bookmarkEnd w:id="22"/>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15.1　应符合</w:t>
      </w:r>
      <w:r>
        <w:rPr>
          <w:rFonts w:ascii="原版宋体" w:hAnsi="原版宋体" w:cs="Times New Roman"/>
          <w:sz w:val="21"/>
          <w:lang w:eastAsia="zh-CN"/>
        </w:rPr>
        <w:t>GB 31654</w:t>
      </w:r>
      <w:r>
        <w:rPr>
          <w:rFonts w:hint="default" w:ascii="原版宋体" w:hAnsi="原版宋体" w:cs="Times New Roman"/>
          <w:sz w:val="21"/>
          <w:lang w:eastAsia="zh-CN"/>
        </w:rPr>
        <w:t>-2021中13.5的规定。</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15.2　应建立相应的记录管理制度，做好关键控制点与日常管理记录。</w:t>
      </w:r>
    </w:p>
    <w:p>
      <w:pPr>
        <w:pStyle w:val="26"/>
        <w:tabs>
          <w:tab w:val="left" w:pos="850"/>
        </w:tabs>
        <w:spacing w:line="320" w:lineRule="exact"/>
        <w:ind w:left="0" w:firstLine="0"/>
        <w:jc w:val="both"/>
        <w:rPr>
          <w:rFonts w:ascii="原版宋体" w:hAnsi="原版宋体" w:cs="Times New Roman"/>
          <w:sz w:val="21"/>
          <w:lang w:eastAsia="zh-CN"/>
        </w:rPr>
      </w:pPr>
      <w:r>
        <w:rPr>
          <w:rFonts w:hint="default" w:ascii="原版宋体" w:hAnsi="原版宋体" w:cs="Times New Roman"/>
          <w:sz w:val="21"/>
          <w:lang w:eastAsia="zh-CN"/>
        </w:rPr>
        <w:t>15.3　各项记录均应由执行人员签名或签章，记录内容如有修改，不能将原文涂掉以致无法辨认，且修改后应由修改人在修改文字附近签名或签章。</w:t>
      </w:r>
    </w:p>
    <w:p>
      <w:pPr>
        <w:pStyle w:val="26"/>
        <w:tabs>
          <w:tab w:val="left" w:pos="850"/>
        </w:tabs>
        <w:spacing w:after="283" w:line="320" w:lineRule="exact"/>
        <w:ind w:left="0" w:firstLine="0"/>
        <w:jc w:val="both"/>
        <w:outlineLvl w:val="0"/>
        <w:rPr>
          <w:rFonts w:ascii="原版宋体" w:hAnsi="原版宋体" w:eastAsia="黑体" w:cs="Times New Roman"/>
          <w:lang w:eastAsia="zh-CN"/>
        </w:rPr>
      </w:pPr>
      <w:r>
        <w:rPr>
          <w:rFonts w:ascii="原版宋体" w:hAnsi="原版宋体" w:cs="Times New Roman"/>
          <w:sz w:val="21"/>
          <w:lang w:eastAsia="zh-CN"/>
        </w:rPr>
        <mc:AlternateContent>
          <mc:Choice Requires="wps">
            <w:drawing>
              <wp:anchor distT="0" distB="0" distL="114300" distR="114300" simplePos="0" relativeHeight="251669504" behindDoc="0" locked="0" layoutInCell="1" allowOverlap="1">
                <wp:simplePos x="0" y="0"/>
                <wp:positionH relativeFrom="column">
                  <wp:posOffset>1219835</wp:posOffset>
                </wp:positionH>
                <wp:positionV relativeFrom="paragraph">
                  <wp:posOffset>425450</wp:posOffset>
                </wp:positionV>
                <wp:extent cx="2688590" cy="10795"/>
                <wp:effectExtent l="0" t="4445" r="8890" b="7620"/>
                <wp:wrapNone/>
                <wp:docPr id="42" name="直接连接符 42"/>
                <wp:cNvGraphicFramePr/>
                <a:graphic xmlns:a="http://schemas.openxmlformats.org/drawingml/2006/main">
                  <a:graphicData uri="http://schemas.microsoft.com/office/word/2010/wordprocessingShape">
                    <wps:wsp>
                      <wps:cNvCnPr/>
                      <wps:spPr>
                        <a:xfrm>
                          <a:off x="0" y="0"/>
                          <a:ext cx="2688590" cy="1079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96.05pt;margin-top:33.5pt;height:0.85pt;width:211.7pt;z-index:251669504;mso-width-relative:page;mso-height-relative:page;" filled="f" stroked="t" coordsize="21600,21600" o:gfxdata="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FgAAAGRycy9QSwECFAAUAAAACACHTuJAc2OUztYAAAAJAQAADwAAAAAAAAABACAAAAA4AAAAZHJz&#10;L2Rvd25yZXYueG1sUEsBAhQAFAAAAAgAh07iQCP6+j/wAQAA3gMAAA4AAAAAAAAAAQAgAAAAOwEA&#10;AGRycy9lMm9Eb2MueG1sUEsFBgAAAAAGAAYAWQEAAJ0FAAAAAA==&#10;">
                <v:fill on="f" focussize="0,0"/>
                <v:stroke color="#000000" joinstyle="round"/>
                <v:imagedata o:title=""/>
                <o:lock v:ext="edit" aspectratio="f"/>
              </v:line>
            </w:pict>
          </mc:Fallback>
        </mc:AlternateContent>
      </w:r>
      <w:r>
        <w:rPr>
          <w:rFonts w:hint="default" w:ascii="原版宋体" w:hAnsi="原版宋体" w:cs="Times New Roman"/>
          <w:sz w:val="21"/>
          <w:lang w:eastAsia="zh-CN"/>
        </w:rPr>
        <w:t>15.4　记录内容应完整、真实，填写清晰、规范。</w:t>
      </w:r>
      <w:bookmarkStart w:id="23" w:name="_Toc7999"/>
    </w:p>
    <w:p>
      <w:pPr>
        <w:pStyle w:val="5"/>
        <w:tabs>
          <w:tab w:val="left" w:pos="638"/>
          <w:tab w:val="left" w:pos="1058"/>
        </w:tabs>
        <w:spacing w:before="14173"/>
        <w:ind w:left="215"/>
        <w:jc w:val="center"/>
        <w:outlineLvl w:val="0"/>
        <w:rPr>
          <w:rFonts w:ascii="原版宋体" w:hAnsi="原版宋体" w:eastAsia="黑体" w:cs="Times New Roman"/>
          <w:lang w:eastAsia="zh-CN"/>
        </w:rPr>
      </w:pPr>
      <w:r>
        <w:rPr>
          <w:rFonts w:hint="default" w:ascii="原版宋体" w:hAnsi="原版宋体" w:eastAsia="黑体" w:cs="Times New Roman"/>
          <w:lang w:eastAsia="zh-CN"/>
        </w:rPr>
        <w:t>附</w:t>
      </w:r>
      <w:r>
        <w:rPr>
          <w:rFonts w:hint="default" w:ascii="原版宋体" w:hAnsi="原版宋体" w:eastAsia="黑体" w:cs="Times New Roman"/>
          <w:lang w:eastAsia="zh-CN"/>
        </w:rPr>
        <w:tab/>
      </w:r>
      <w:r>
        <w:rPr>
          <w:rFonts w:hint="default" w:ascii="原版宋体" w:hAnsi="原版宋体" w:eastAsia="黑体" w:cs="Times New Roman"/>
          <w:lang w:eastAsia="zh-CN"/>
        </w:rPr>
        <w:t>录</w:t>
      </w:r>
      <w:r>
        <w:rPr>
          <w:rFonts w:hint="default" w:ascii="原版宋体" w:hAnsi="原版宋体" w:eastAsia="黑体" w:cs="Times New Roman"/>
          <w:lang w:eastAsia="zh-CN"/>
        </w:rPr>
        <w:tab/>
      </w:r>
      <w:r>
        <w:rPr>
          <w:rFonts w:hint="default" w:ascii="原版宋体" w:hAnsi="原版宋体" w:eastAsia="黑体" w:cs="Times New Roman"/>
          <w:lang w:eastAsia="zh-CN"/>
        </w:rPr>
        <w:t>A</w:t>
      </w:r>
      <w:bookmarkEnd w:id="23"/>
    </w:p>
    <w:p>
      <w:pPr>
        <w:pStyle w:val="5"/>
        <w:tabs>
          <w:tab w:val="left" w:pos="638"/>
          <w:tab w:val="left" w:pos="1058"/>
        </w:tabs>
        <w:spacing w:before="76"/>
        <w:ind w:left="215"/>
        <w:jc w:val="center"/>
        <w:outlineLvl w:val="0"/>
        <w:rPr>
          <w:rFonts w:ascii="原版宋体" w:hAnsi="原版宋体" w:eastAsia="黑体" w:cs="Times New Roman"/>
          <w:lang w:eastAsia="zh-CN"/>
        </w:rPr>
      </w:pPr>
      <w:r>
        <w:rPr>
          <w:rFonts w:hint="default" w:ascii="原版宋体" w:hAnsi="原版宋体" w:eastAsia="黑体" w:cs="Times New Roman"/>
          <w:lang w:eastAsia="zh-CN"/>
        </w:rPr>
        <w:t xml:space="preserve">（规范性） </w:t>
      </w:r>
    </w:p>
    <w:p>
      <w:pPr>
        <w:pStyle w:val="5"/>
        <w:tabs>
          <w:tab w:val="left" w:pos="638"/>
          <w:tab w:val="left" w:pos="1058"/>
        </w:tabs>
        <w:spacing w:before="76" w:after="283"/>
        <w:ind w:left="215"/>
        <w:jc w:val="center"/>
        <w:rPr>
          <w:rFonts w:ascii="原版宋体" w:hAnsi="原版宋体" w:cs="Times New Roman"/>
          <w:lang w:eastAsia="zh-CN"/>
        </w:rPr>
      </w:pPr>
      <w:r>
        <w:rPr>
          <w:rFonts w:hint="default" w:ascii="原版宋体" w:hAnsi="原版宋体" w:eastAsia="黑体" w:cs="Times New Roman"/>
          <w:lang w:eastAsia="zh-CN"/>
        </w:rPr>
        <w:t>监测表</w:t>
      </w:r>
    </w:p>
    <w:p>
      <w:pPr>
        <w:pStyle w:val="5"/>
        <w:tabs>
          <w:tab w:val="left" w:pos="638"/>
          <w:tab w:val="left" w:pos="1058"/>
        </w:tabs>
        <w:spacing w:before="76"/>
        <w:rPr>
          <w:rFonts w:ascii="原版宋体" w:hAnsi="原版宋体" w:cs="Times New Roman"/>
          <w:lang w:eastAsia="zh-CN"/>
        </w:rPr>
      </w:pPr>
      <w:r>
        <w:rPr>
          <w:rFonts w:hint="default" w:ascii="原版宋体" w:hAnsi="原版宋体" w:cs="Times New Roman"/>
          <w:lang w:eastAsia="zh-CN"/>
        </w:rPr>
        <w:t>A.1  清洁作业区加工过程监测要求见表A.1</w:t>
      </w:r>
    </w:p>
    <w:p>
      <w:pPr>
        <w:pStyle w:val="5"/>
        <w:tabs>
          <w:tab w:val="left" w:pos="638"/>
          <w:tab w:val="left" w:pos="1058"/>
        </w:tabs>
        <w:spacing w:before="76"/>
        <w:ind w:left="218"/>
        <w:jc w:val="center"/>
        <w:rPr>
          <w:rFonts w:ascii="原版宋体" w:hAnsi="原版宋体" w:eastAsia="黑体" w:cs="Times New Roman"/>
          <w:lang w:eastAsia="zh-CN"/>
        </w:rPr>
      </w:pPr>
      <w:r>
        <w:rPr>
          <w:rFonts w:hint="default" w:ascii="原版宋体" w:hAnsi="原版宋体" w:eastAsia="黑体" w:cs="Times New Roman"/>
          <w:lang w:eastAsia="zh-CN"/>
        </w:rPr>
        <w:t>表A.1  清洁作业区加工过程监测要求</w:t>
      </w:r>
    </w:p>
    <w:tbl>
      <w:tblPr>
        <w:tblStyle w:val="9"/>
        <w:tblW w:w="9110" w:type="dxa"/>
        <w:tblInd w:w="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1710"/>
        <w:gridCol w:w="1965"/>
        <w:gridCol w:w="1965"/>
        <w:gridCol w:w="1470"/>
        <w:gridCol w:w="1265"/>
      </w:tblGrid>
      <w:tr>
        <w:trPr>
          <w:trHeight w:val="454" w:hRule="atLeast"/>
        </w:trPr>
        <w:tc>
          <w:tcPr>
            <w:tcW w:w="73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序号</w:t>
            </w:r>
          </w:p>
        </w:tc>
        <w:tc>
          <w:tcPr>
            <w:tcW w:w="171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类别</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检验项目</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卫生要求</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监测方法</w:t>
            </w:r>
          </w:p>
        </w:tc>
        <w:tc>
          <w:tcPr>
            <w:tcW w:w="12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9" w:hRule="atLeast"/>
        </w:trPr>
        <w:tc>
          <w:tcPr>
            <w:tcW w:w="73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1</w:t>
            </w:r>
          </w:p>
        </w:tc>
        <w:tc>
          <w:tcPr>
            <w:tcW w:w="171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工作服</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菌落总数</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200 CFU/100cm²</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WS/T 508</w:t>
            </w:r>
          </w:p>
        </w:tc>
        <w:tc>
          <w:tcPr>
            <w:tcW w:w="1265"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每年不少于2次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35"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2</w:t>
            </w:r>
          </w:p>
        </w:tc>
        <w:tc>
          <w:tcPr>
            <w:tcW w:w="1710"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物体表面（工作台面、输送带、包装机等）</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菌落总数</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10.0 CFU/cm²</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 15982</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3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710"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大肠菌群</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不得检出</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 4789.3</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35"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3</w:t>
            </w:r>
          </w:p>
        </w:tc>
        <w:tc>
          <w:tcPr>
            <w:tcW w:w="1710"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人员手</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菌落总数</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10.0 CFU/cm²</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 15982</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3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710"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大肠菌群</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不得检出</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 4789.3</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35"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5</w:t>
            </w:r>
          </w:p>
        </w:tc>
        <w:tc>
          <w:tcPr>
            <w:tcW w:w="1710"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餐饮具</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大肠菌群</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不得检出</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 14934</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3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710"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阴离子合成洗涤剂</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不得检出</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GB/T 5750.4</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2" w:hRule="atLeast"/>
        </w:trPr>
        <w:tc>
          <w:tcPr>
            <w:tcW w:w="735"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6</w:t>
            </w:r>
          </w:p>
        </w:tc>
        <w:tc>
          <w:tcPr>
            <w:tcW w:w="1710"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与食品表面接触工用具</w:t>
            </w:r>
          </w:p>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（菜刀、砧板、盛装容器等）</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大肠菌群</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不得检出</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 14934</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3" w:hRule="atLeast"/>
        </w:trPr>
        <w:tc>
          <w:tcPr>
            <w:tcW w:w="735" w:type="dxa"/>
            <w:vMerge w:val="continue"/>
            <w:vAlign w:val="center"/>
          </w:tcPr>
          <w:p>
            <w:pPr>
              <w:pStyle w:val="5"/>
              <w:tabs>
                <w:tab w:val="left" w:pos="638"/>
                <w:tab w:val="left" w:pos="1058"/>
              </w:tabs>
              <w:spacing w:before="76"/>
              <w:jc w:val="center"/>
              <w:rPr>
                <w:rFonts w:ascii="原版宋体" w:hAnsi="原版宋体" w:cs="Times New Roman"/>
                <w:color w:val="000000"/>
                <w:w w:val="95"/>
                <w:sz w:val="18"/>
                <w:szCs w:val="18"/>
                <w:lang w:eastAsia="zh-CN"/>
              </w:rPr>
            </w:pPr>
          </w:p>
        </w:tc>
        <w:tc>
          <w:tcPr>
            <w:tcW w:w="1710" w:type="dxa"/>
            <w:vMerge w:val="continue"/>
            <w:vAlign w:val="center"/>
          </w:tcPr>
          <w:p>
            <w:pPr>
              <w:pStyle w:val="5"/>
              <w:tabs>
                <w:tab w:val="left" w:pos="638"/>
                <w:tab w:val="left" w:pos="1058"/>
              </w:tabs>
              <w:spacing w:before="76"/>
              <w:jc w:val="center"/>
              <w:rPr>
                <w:rFonts w:ascii="原版宋体" w:hAnsi="原版宋体" w:cs="Times New Roman"/>
                <w:color w:val="000000"/>
                <w:w w:val="95"/>
                <w:sz w:val="18"/>
                <w:szCs w:val="18"/>
                <w:lang w:eastAsia="zh-CN"/>
              </w:rPr>
            </w:pP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阴离子合成洗涤剂</w:t>
            </w:r>
          </w:p>
        </w:tc>
        <w:tc>
          <w:tcPr>
            <w:tcW w:w="1965"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不得检出</w:t>
            </w:r>
          </w:p>
        </w:tc>
        <w:tc>
          <w:tcPr>
            <w:tcW w:w="1470" w:type="dxa"/>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GB/T 5750.4</w:t>
            </w:r>
          </w:p>
        </w:tc>
        <w:tc>
          <w:tcPr>
            <w:tcW w:w="1265" w:type="dxa"/>
            <w:vMerge w:val="continue"/>
            <w:vAlign w:val="center"/>
          </w:tcPr>
          <w:p>
            <w:pPr>
              <w:pStyle w:val="5"/>
              <w:tabs>
                <w:tab w:val="left" w:pos="638"/>
                <w:tab w:val="left" w:pos="1058"/>
              </w:tabs>
              <w:spacing w:before="76"/>
              <w:jc w:val="center"/>
              <w:rPr>
                <w:rFonts w:ascii="原版宋体" w:hAnsi="原版宋体" w:cs="Times New Roman"/>
                <w:color w:val="000000"/>
                <w:w w:val="95"/>
                <w:sz w:val="18"/>
                <w:szCs w:val="18"/>
                <w:lang w:eastAsia="zh-CN"/>
              </w:rPr>
            </w:pPr>
          </w:p>
        </w:tc>
      </w:tr>
    </w:tbl>
    <w:p>
      <w:pPr>
        <w:pStyle w:val="5"/>
        <w:tabs>
          <w:tab w:val="left" w:pos="638"/>
          <w:tab w:val="left" w:pos="1058"/>
        </w:tabs>
        <w:spacing w:before="76"/>
        <w:jc w:val="both"/>
        <w:rPr>
          <w:rFonts w:ascii="原版宋体" w:hAnsi="原版宋体" w:cs="Times New Roman"/>
          <w:lang w:eastAsia="zh-CN"/>
        </w:rPr>
      </w:pPr>
    </w:p>
    <w:p>
      <w:pPr>
        <w:pStyle w:val="5"/>
        <w:tabs>
          <w:tab w:val="left" w:pos="638"/>
          <w:tab w:val="left" w:pos="1058"/>
        </w:tabs>
        <w:spacing w:before="76"/>
        <w:jc w:val="both"/>
        <w:rPr>
          <w:rFonts w:ascii="原版宋体" w:hAnsi="原版宋体" w:cs="Times New Roman"/>
          <w:lang w:eastAsia="zh-CN"/>
        </w:rPr>
      </w:pPr>
      <w:r>
        <w:rPr>
          <w:rFonts w:hint="default" w:ascii="原版宋体" w:hAnsi="原版宋体" w:cs="Times New Roman"/>
          <w:lang w:eastAsia="zh-CN"/>
        </w:rPr>
        <w:t>A.2   清洁作业区的空气洁净度监测要求见表A.2</w:t>
      </w:r>
    </w:p>
    <w:p>
      <w:pPr>
        <w:pStyle w:val="5"/>
        <w:tabs>
          <w:tab w:val="left" w:pos="638"/>
          <w:tab w:val="left" w:pos="1058"/>
        </w:tabs>
        <w:spacing w:before="76"/>
        <w:ind w:left="218"/>
        <w:jc w:val="center"/>
        <w:rPr>
          <w:rFonts w:ascii="原版宋体" w:hAnsi="原版宋体" w:eastAsia="黑体" w:cs="Times New Roman"/>
          <w:lang w:eastAsia="zh-CN"/>
        </w:rPr>
      </w:pPr>
      <w:r>
        <w:rPr>
          <w:rFonts w:hint="default" w:ascii="原版宋体" w:hAnsi="原版宋体" w:eastAsia="黑体" w:cs="Times New Roman"/>
          <w:lang w:eastAsia="zh-CN"/>
        </w:rPr>
        <w:t>表A.2   清洁作业区的空气洁净度监测要求</w:t>
      </w:r>
    </w:p>
    <w:tbl>
      <w:tblPr>
        <w:tblStyle w:val="9"/>
        <w:tblW w:w="9075" w:type="dxa"/>
        <w:tblInd w:w="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1815"/>
        <w:gridCol w:w="3225"/>
        <w:gridCol w:w="2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3" w:hRule="atLeast"/>
        </w:trPr>
        <w:tc>
          <w:tcPr>
            <w:tcW w:w="3330" w:type="dxa"/>
            <w:gridSpan w:val="2"/>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监测项目</w:t>
            </w:r>
          </w:p>
        </w:tc>
        <w:tc>
          <w:tcPr>
            <w:tcW w:w="3225"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静态</w:t>
            </w:r>
          </w:p>
        </w:tc>
        <w:tc>
          <w:tcPr>
            <w:tcW w:w="2520"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动态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8" w:hRule="atLeast"/>
        </w:trPr>
        <w:tc>
          <w:tcPr>
            <w:tcW w:w="3330" w:type="dxa"/>
            <w:gridSpan w:val="2"/>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空气沉降菌（μm）</w:t>
            </w:r>
          </w:p>
        </w:tc>
        <w:tc>
          <w:tcPr>
            <w:tcW w:w="3225"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4（cfu/30min▪φ90mm）</w:t>
            </w:r>
          </w:p>
        </w:tc>
        <w:tc>
          <w:tcPr>
            <w:tcW w:w="2520"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64（cfu/4h）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15" w:type="dxa"/>
            <w:vMerge w:val="restart"/>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悬浮微粒</w:t>
            </w:r>
          </w:p>
        </w:tc>
        <w:tc>
          <w:tcPr>
            <w:tcW w:w="1815"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0.5</w:t>
            </w:r>
          </w:p>
        </w:tc>
        <w:tc>
          <w:tcPr>
            <w:tcW w:w="3225"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3520000</w:t>
            </w:r>
          </w:p>
        </w:tc>
        <w:tc>
          <w:tcPr>
            <w:tcW w:w="2520"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15" w:type="dxa"/>
            <w:vMerge w:val="continue"/>
            <w:vAlign w:val="center"/>
          </w:tcPr>
          <w:p>
            <w:pPr>
              <w:pStyle w:val="5"/>
              <w:tabs>
                <w:tab w:val="left" w:pos="638"/>
                <w:tab w:val="left" w:pos="1058"/>
              </w:tabs>
              <w:spacing w:before="76"/>
              <w:jc w:val="center"/>
              <w:rPr>
                <w:rFonts w:ascii="原版宋体" w:hAnsi="原版宋体" w:cs="Times New Roman"/>
                <w:color w:val="000000"/>
                <w:sz w:val="18"/>
                <w:szCs w:val="18"/>
                <w:lang w:eastAsia="zh-CN"/>
              </w:rPr>
            </w:pPr>
          </w:p>
        </w:tc>
        <w:tc>
          <w:tcPr>
            <w:tcW w:w="1815"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5</w:t>
            </w:r>
          </w:p>
        </w:tc>
        <w:tc>
          <w:tcPr>
            <w:tcW w:w="3225"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 29300</w:t>
            </w:r>
          </w:p>
        </w:tc>
        <w:tc>
          <w:tcPr>
            <w:tcW w:w="2520" w:type="dxa"/>
          </w:tcPr>
          <w:p>
            <w:pPr>
              <w:pStyle w:val="5"/>
              <w:tabs>
                <w:tab w:val="left" w:pos="638"/>
                <w:tab w:val="left" w:pos="1058"/>
              </w:tabs>
              <w:spacing w:before="76"/>
              <w:jc w:val="center"/>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075" w:type="dxa"/>
            <w:gridSpan w:val="4"/>
            <w:vAlign w:val="center"/>
          </w:tcPr>
          <w:p>
            <w:pPr>
              <w:pStyle w:val="5"/>
              <w:tabs>
                <w:tab w:val="left" w:pos="638"/>
                <w:tab w:val="left" w:pos="1058"/>
              </w:tabs>
              <w:spacing w:before="76"/>
              <w:jc w:val="both"/>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注：1.专间按照食品洁净区（Ⅲ级/10 万级）监测。</w:t>
            </w:r>
          </w:p>
          <w:p>
            <w:pPr>
              <w:pStyle w:val="5"/>
              <w:tabs>
                <w:tab w:val="left" w:pos="638"/>
                <w:tab w:val="left" w:pos="1058"/>
              </w:tabs>
              <w:spacing w:before="76"/>
              <w:jc w:val="both"/>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2.标准各数值均为平均值，单点最大值不宜超过平均值的2 倍。</w:t>
            </w:r>
          </w:p>
          <w:p>
            <w:pPr>
              <w:pStyle w:val="5"/>
              <w:tabs>
                <w:tab w:val="left" w:pos="638"/>
                <w:tab w:val="left" w:pos="1058"/>
              </w:tabs>
              <w:spacing w:before="76"/>
              <w:jc w:val="both"/>
              <w:rPr>
                <w:rFonts w:ascii="原版宋体" w:hAnsi="原版宋体" w:cs="Times New Roman"/>
                <w:color w:val="000000"/>
                <w:sz w:val="18"/>
                <w:szCs w:val="18"/>
                <w:lang w:eastAsia="zh-CN"/>
              </w:rPr>
            </w:pPr>
            <w:r>
              <w:rPr>
                <w:rFonts w:hint="default" w:ascii="原版宋体" w:hAnsi="原版宋体" w:cs="Times New Roman"/>
                <w:color w:val="000000"/>
                <w:sz w:val="18"/>
                <w:szCs w:val="18"/>
                <w:lang w:eastAsia="zh-CN"/>
              </w:rPr>
              <w:t>3.动态检测时可使用多个沉降皿连续进行监控，但单个沉降皿的暴露时间可以小于4 h，按实际时间计算沉降菌。</w:t>
            </w:r>
          </w:p>
          <w:p>
            <w:pPr>
              <w:pStyle w:val="5"/>
              <w:tabs>
                <w:tab w:val="left" w:pos="638"/>
                <w:tab w:val="left" w:pos="1058"/>
              </w:tabs>
              <w:spacing w:before="76"/>
              <w:jc w:val="both"/>
              <w:rPr>
                <w:rFonts w:ascii="原版宋体" w:hAnsi="原版宋体" w:cs="Times New Roman"/>
                <w:color w:val="000000"/>
                <w:w w:val="95"/>
                <w:sz w:val="18"/>
                <w:szCs w:val="18"/>
                <w:lang w:eastAsia="zh-CN"/>
              </w:rPr>
            </w:pPr>
            <w:r>
              <w:rPr>
                <w:rFonts w:hint="default" w:ascii="原版宋体" w:hAnsi="原版宋体" w:cs="Times New Roman"/>
                <w:color w:val="000000"/>
                <w:sz w:val="18"/>
                <w:szCs w:val="18"/>
                <w:lang w:eastAsia="zh-CN"/>
              </w:rPr>
              <w:t>4.洁净区工程验收时应达到相应等级的静态标准。</w:t>
            </w:r>
          </w:p>
        </w:tc>
      </w:tr>
      <w:bookmarkEnd w:id="4"/>
      <w:bookmarkEnd w:id="5"/>
      <w:bookmarkEnd w:id="6"/>
      <w:bookmarkEnd w:id="7"/>
    </w:tbl>
    <w:p>
      <w:pPr>
        <w:jc w:val="center"/>
        <w:outlineLvl w:val="1"/>
        <w:rPr>
          <w:rFonts w:ascii="原版宋体" w:hAnsi="原版宋体" w:eastAsia="黑体" w:cs="Times New Roman"/>
        </w:rPr>
      </w:pPr>
      <w:bookmarkStart w:id="24" w:name="_Toc510950574"/>
      <w:bookmarkStart w:id="25" w:name="_Toc503445392"/>
    </w:p>
    <w:bookmarkEnd w:id="24"/>
    <w:bookmarkEnd w:id="25"/>
    <w:p>
      <w:pPr>
        <w:outlineLvl w:val="1"/>
        <w:rPr>
          <w:rFonts w:ascii="原版宋体" w:hAnsi="原版宋体" w:eastAsia="黑体" w:cs="Times New Roman"/>
        </w:rPr>
      </w:pPr>
    </w:p>
    <w:p>
      <w:pPr>
        <w:jc w:val="center"/>
        <w:outlineLvl w:val="1"/>
        <w:rPr>
          <w:rFonts w:ascii="原版宋体" w:hAnsi="原版宋体" w:eastAsia="黑体" w:cs="Times New Roman"/>
        </w:rPr>
      </w:pPr>
    </w:p>
    <w:p>
      <w:pPr>
        <w:jc w:val="center"/>
        <w:outlineLvl w:val="1"/>
        <w:rPr>
          <w:rFonts w:ascii="原版宋体" w:hAnsi="原版宋体" w:eastAsia="黑体" w:cs="Times New Roman"/>
        </w:rPr>
      </w:pPr>
    </w:p>
    <w:p>
      <w:pPr>
        <w:autoSpaceDE w:val="0"/>
        <w:autoSpaceDN w:val="0"/>
        <w:ind w:firstLine="420" w:firstLineChars="200"/>
        <w:rPr>
          <w:rFonts w:ascii="原版宋体" w:hAnsi="原版宋体" w:eastAsia="宋体" w:cs="Times New Roman"/>
        </w:rPr>
      </w:pPr>
    </w:p>
    <w:p>
      <w:pPr>
        <w:autoSpaceDE w:val="0"/>
        <w:autoSpaceDN w:val="0"/>
        <w:ind w:firstLine="420" w:firstLineChars="200"/>
        <w:rPr>
          <w:rFonts w:ascii="原版宋体" w:hAnsi="原版宋体" w:eastAsia="宋体" w:cs="Times New Roman"/>
        </w:rPr>
      </w:pPr>
    </w:p>
    <w:p>
      <w:pPr>
        <w:autoSpaceDE w:val="0"/>
        <w:autoSpaceDN w:val="0"/>
        <w:ind w:firstLine="420" w:firstLineChars="200"/>
        <w:rPr>
          <w:rFonts w:ascii="原版宋体" w:hAnsi="原版宋体" w:eastAsia="宋体" w:cs="Times New Roman"/>
        </w:rPr>
      </w:pPr>
    </w:p>
    <w:p>
      <w:pPr>
        <w:autoSpaceDE w:val="0"/>
        <w:autoSpaceDN w:val="0"/>
        <w:ind w:firstLine="420" w:firstLineChars="200"/>
        <w:jc w:val="center"/>
        <w:rPr>
          <w:rFonts w:ascii="原版宋体" w:hAnsi="原版宋体" w:eastAsia="宋体" w:cs="Times New Roman"/>
        </w:rPr>
      </w:pPr>
      <w:r>
        <w:rPr>
          <w:rFonts w:hint="default" w:ascii="原版宋体" w:hAnsi="原版宋体" w:eastAsia="宋体" w:cs="Times New Roman"/>
        </w:rPr>
        <w:t>附 录 B</w:t>
      </w:r>
    </w:p>
    <w:p>
      <w:pPr>
        <w:autoSpaceDE w:val="0"/>
        <w:autoSpaceDN w:val="0"/>
        <w:ind w:firstLine="420" w:firstLineChars="200"/>
        <w:jc w:val="center"/>
        <w:rPr>
          <w:rFonts w:ascii="原版宋体" w:hAnsi="原版宋体" w:eastAsia="宋体" w:cs="Times New Roman"/>
        </w:rPr>
      </w:pPr>
      <w:r>
        <w:rPr>
          <w:rFonts w:hint="default" w:ascii="原版宋体" w:hAnsi="原版宋体" w:eastAsia="宋体" w:cs="Times New Roman"/>
        </w:rPr>
        <w:t>（资料性）</w:t>
      </w:r>
    </w:p>
    <w:p>
      <w:pPr>
        <w:autoSpaceDE w:val="0"/>
        <w:autoSpaceDN w:val="0"/>
        <w:ind w:firstLine="420" w:firstLineChars="200"/>
        <w:jc w:val="center"/>
        <w:rPr>
          <w:rFonts w:ascii="原版宋体" w:hAnsi="原版宋体" w:eastAsia="宋体" w:cs="Times New Roman"/>
        </w:rPr>
      </w:pPr>
      <w:r>
        <w:rPr>
          <w:rFonts w:hint="default" w:ascii="原版宋体" w:hAnsi="原版宋体" w:eastAsia="宋体" w:cs="Times New Roman"/>
        </w:rPr>
        <w:t>常用的解冻方法</w:t>
      </w:r>
    </w:p>
    <w:p>
      <w:pPr>
        <w:autoSpaceDE w:val="0"/>
        <w:autoSpaceDN w:val="0"/>
        <w:jc w:val="left"/>
        <w:rPr>
          <w:rFonts w:ascii="原版宋体" w:hAnsi="原版宋体" w:eastAsia="宋体" w:cs="Times New Roman"/>
        </w:rPr>
      </w:pPr>
      <w:r>
        <w:rPr>
          <w:rFonts w:hint="eastAsia" w:ascii="原版宋体" w:hAnsi="原版宋体" w:eastAsia="宋体" w:cs="Times New Roman"/>
        </w:rPr>
        <w:t xml:space="preserve">B.1  </w:t>
      </w:r>
      <w:r>
        <w:rPr>
          <w:rFonts w:hint="default" w:ascii="原版宋体" w:hAnsi="原版宋体" w:eastAsia="宋体" w:cs="Times New Roman"/>
        </w:rPr>
        <w:t>常用的解冻方法见表B.1</w:t>
      </w:r>
    </w:p>
    <w:p>
      <w:pPr>
        <w:autoSpaceDE w:val="0"/>
        <w:autoSpaceDN w:val="0"/>
        <w:ind w:firstLine="420" w:firstLineChars="200"/>
        <w:jc w:val="center"/>
        <w:rPr>
          <w:rFonts w:ascii="原版宋体" w:hAnsi="原版宋体" w:eastAsia="宋体" w:cs="Times New Roman"/>
        </w:rPr>
      </w:pPr>
      <w:r>
        <w:rPr>
          <w:rFonts w:hint="default" w:ascii="原版宋体" w:hAnsi="原版宋体" w:eastAsia="宋体" w:cs="Times New Roman"/>
        </w:rPr>
        <w:t>表 B.1 常用的解冻方法</w:t>
      </w:r>
    </w:p>
    <w:tbl>
      <w:tblPr>
        <w:tblStyle w:val="9"/>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85"/>
        <w:gridCol w:w="70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985" w:type="dxa"/>
            <w:vAlign w:val="center"/>
          </w:tcPr>
          <w:p>
            <w:pPr>
              <w:autoSpaceDE w:val="0"/>
              <w:autoSpaceDN w:val="0"/>
              <w:jc w:val="center"/>
              <w:rPr>
                <w:rFonts w:ascii="原版宋体" w:hAnsi="原版宋体" w:eastAsia="宋体" w:cs="Times New Roman"/>
                <w:szCs w:val="18"/>
              </w:rPr>
            </w:pPr>
            <w:r>
              <w:rPr>
                <w:rFonts w:hint="default" w:ascii="原版宋体" w:hAnsi="原版宋体" w:eastAsia="宋体" w:cs="Times New Roman"/>
                <w:szCs w:val="18"/>
              </w:rPr>
              <w:t>解冻方法</w:t>
            </w:r>
          </w:p>
        </w:tc>
        <w:tc>
          <w:tcPr>
            <w:tcW w:w="7087" w:type="dxa"/>
            <w:vAlign w:val="center"/>
          </w:tcPr>
          <w:p>
            <w:pPr>
              <w:autoSpaceDE w:val="0"/>
              <w:autoSpaceDN w:val="0"/>
              <w:jc w:val="center"/>
              <w:rPr>
                <w:rFonts w:ascii="原版宋体" w:hAnsi="原版宋体" w:eastAsia="宋体" w:cs="Times New Roman"/>
                <w:szCs w:val="18"/>
              </w:rPr>
            </w:pPr>
            <w:r>
              <w:rPr>
                <w:rFonts w:hint="default" w:ascii="原版宋体" w:hAnsi="原版宋体" w:eastAsia="宋体" w:cs="Times New Roman"/>
                <w:szCs w:val="18"/>
              </w:rPr>
              <w:t>操作指引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22" w:hRule="atLeast"/>
        </w:trPr>
        <w:tc>
          <w:tcPr>
            <w:tcW w:w="1985" w:type="dxa"/>
            <w:vAlign w:val="center"/>
          </w:tcPr>
          <w:p>
            <w:pPr>
              <w:autoSpaceDE w:val="0"/>
              <w:autoSpaceDN w:val="0"/>
              <w:jc w:val="center"/>
              <w:rPr>
                <w:rFonts w:ascii="原版宋体" w:hAnsi="原版宋体" w:eastAsia="宋体" w:cs="Times New Roman"/>
                <w:szCs w:val="18"/>
              </w:rPr>
            </w:pPr>
            <w:r>
              <w:rPr>
                <w:rFonts w:hint="default" w:ascii="原版宋体" w:hAnsi="原版宋体" w:eastAsia="宋体" w:cs="Times New Roman"/>
                <w:szCs w:val="18"/>
              </w:rPr>
              <w:t>流动水解冻法</w:t>
            </w:r>
          </w:p>
        </w:tc>
        <w:tc>
          <w:tcPr>
            <w:tcW w:w="7087" w:type="dxa"/>
            <w:vAlign w:val="center"/>
          </w:tcPr>
          <w:p>
            <w:pPr>
              <w:autoSpaceDE w:val="0"/>
              <w:autoSpaceDN w:val="0"/>
              <w:rPr>
                <w:rFonts w:ascii="原版宋体" w:hAnsi="原版宋体" w:eastAsia="宋体" w:cs="Times New Roman"/>
                <w:szCs w:val="18"/>
              </w:rPr>
            </w:pPr>
            <w:r>
              <w:rPr>
                <w:rFonts w:hint="default" w:ascii="原版宋体" w:hAnsi="原版宋体" w:eastAsia="宋体" w:cs="Times New Roman"/>
                <w:szCs w:val="18"/>
              </w:rPr>
              <w:t>流动水温度应低于21 ℃，食品表面温度不超8 ℃。流动水解冻时间不应超过4 h，需超时解冻的，可移至8 ℃以下冷藏库中完成后续解冻。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985" w:type="dxa"/>
            <w:vAlign w:val="center"/>
          </w:tcPr>
          <w:p>
            <w:pPr>
              <w:autoSpaceDE w:val="0"/>
              <w:autoSpaceDN w:val="0"/>
              <w:ind w:firstLine="420" w:firstLineChars="200"/>
              <w:rPr>
                <w:rFonts w:ascii="原版宋体" w:hAnsi="原版宋体" w:eastAsia="宋体" w:cs="Times New Roman"/>
                <w:szCs w:val="18"/>
              </w:rPr>
            </w:pPr>
            <w:r>
              <w:rPr>
                <w:rFonts w:hint="default" w:ascii="原版宋体" w:hAnsi="原版宋体" w:eastAsia="宋体" w:cs="Times New Roman"/>
                <w:szCs w:val="18"/>
              </w:rPr>
              <w:t>低温解冻法</w:t>
            </w:r>
          </w:p>
        </w:tc>
        <w:tc>
          <w:tcPr>
            <w:tcW w:w="7087" w:type="dxa"/>
            <w:vAlign w:val="center"/>
          </w:tcPr>
          <w:p>
            <w:pPr>
              <w:autoSpaceDE w:val="0"/>
              <w:autoSpaceDN w:val="0"/>
              <w:rPr>
                <w:rFonts w:ascii="原版宋体" w:hAnsi="原版宋体" w:eastAsia="宋体" w:cs="Times New Roman"/>
                <w:szCs w:val="18"/>
              </w:rPr>
            </w:pPr>
            <w:r>
              <w:rPr>
                <w:rFonts w:hint="default" w:ascii="原版宋体" w:hAnsi="原版宋体" w:eastAsia="宋体" w:cs="Times New Roman"/>
                <w:szCs w:val="18"/>
              </w:rPr>
              <w:t>解冻温度室温应控制在10 ℃以下进行解冻，食品表面温度不超过8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985" w:type="dxa"/>
            <w:vAlign w:val="center"/>
          </w:tcPr>
          <w:p>
            <w:pPr>
              <w:autoSpaceDE w:val="0"/>
              <w:autoSpaceDN w:val="0"/>
              <w:ind w:firstLine="420" w:firstLineChars="200"/>
              <w:rPr>
                <w:rFonts w:ascii="原版宋体" w:hAnsi="原版宋体" w:eastAsia="宋体" w:cs="Times New Roman"/>
                <w:szCs w:val="18"/>
              </w:rPr>
            </w:pPr>
            <w:r>
              <w:rPr>
                <w:rFonts w:hint="default" w:ascii="原版宋体" w:hAnsi="原版宋体" w:eastAsia="宋体" w:cs="Times New Roman"/>
                <w:szCs w:val="18"/>
              </w:rPr>
              <w:t>其他解冻法</w:t>
            </w:r>
          </w:p>
        </w:tc>
        <w:tc>
          <w:tcPr>
            <w:tcW w:w="7087" w:type="dxa"/>
            <w:vAlign w:val="center"/>
          </w:tcPr>
          <w:p>
            <w:pPr>
              <w:autoSpaceDE w:val="0"/>
              <w:autoSpaceDN w:val="0"/>
              <w:rPr>
                <w:rFonts w:ascii="原版宋体" w:hAnsi="原版宋体" w:eastAsia="宋体" w:cs="Times New Roman"/>
                <w:szCs w:val="18"/>
              </w:rPr>
            </w:pPr>
            <w:r>
              <w:rPr>
                <w:rFonts w:hint="default" w:ascii="原版宋体" w:hAnsi="原版宋体" w:eastAsia="宋体" w:cs="Times New Roman"/>
                <w:szCs w:val="18"/>
              </w:rPr>
              <w:t>新的解冻方法应当经过试验验证，确认安全可靠后方可采用，并确保解冻食品表面温度不应超8 ℃。</w:t>
            </w:r>
          </w:p>
        </w:tc>
      </w:tr>
    </w:tbl>
    <w:p>
      <w:pPr>
        <w:autoSpaceDE w:val="0"/>
        <w:autoSpaceDN w:val="0"/>
        <w:rPr>
          <w:rFonts w:ascii="原版宋体" w:hAnsi="原版宋体" w:eastAsia="宋体" w:cs="Times New Roman"/>
          <w:color w:val="FF0000"/>
        </w:rPr>
      </w:pPr>
    </w:p>
    <w:p>
      <w:pPr>
        <w:autoSpaceDE w:val="0"/>
        <w:autoSpaceDN w:val="0"/>
        <w:rPr>
          <w:rFonts w:ascii="原版宋体" w:hAnsi="原版宋体" w:eastAsia="宋体" w:cs="Times New Roman"/>
          <w:color w:val="FF0000"/>
        </w:rPr>
      </w:pPr>
    </w:p>
    <w:p>
      <w:pPr>
        <w:widowControl/>
        <w:kinsoku w:val="0"/>
        <w:autoSpaceDE w:val="0"/>
        <w:autoSpaceDN w:val="0"/>
        <w:adjustRightInd w:val="0"/>
        <w:snapToGrid w:val="0"/>
        <w:spacing w:before="120" w:after="120" w:line="320" w:lineRule="exact"/>
        <w:ind w:right="0" w:rightChars="0"/>
        <w:jc w:val="left"/>
        <w:textAlignment w:val="baseline"/>
        <w:rPr>
          <w:rFonts w:ascii="原版宋体" w:hAnsi="原版宋体" w:eastAsia="仿宋_GB2312" w:cs="Times New Roman"/>
          <w:sz w:val="32"/>
        </w:rPr>
        <w:sectPr>
          <w:headerReference r:id="rId22" w:type="default"/>
          <w:footerReference r:id="rId23" w:type="default"/>
          <w:pgSz w:w="11906" w:h="16838"/>
          <w:pgMar w:top="1701" w:right="1134" w:bottom="1134" w:left="1418" w:header="850" w:footer="1134" w:gutter="0"/>
          <w:pgNumType w:fmt="decimal" w:start="1"/>
          <w:cols w:space="0" w:num="1"/>
          <w:formProt w:val="0"/>
          <w:rtlGutter w:val="0"/>
          <w:docGrid w:type="lines" w:linePitch="312" w:charSpace="0"/>
        </w:sectPr>
      </w:pPr>
    </w:p>
    <w:p>
      <w:pPr>
        <w:widowControl/>
        <w:kinsoku w:val="0"/>
        <w:autoSpaceDE w:val="0"/>
        <w:autoSpaceDN w:val="0"/>
        <w:adjustRightInd w:val="0"/>
        <w:snapToGrid/>
        <w:spacing w:before="0" w:after="0" w:line="240" w:lineRule="auto"/>
        <w:ind w:right="0" w:rightChars="0"/>
        <w:jc w:val="left"/>
        <w:textAlignment w:val="baseline"/>
        <w:rPr>
          <w:rFonts w:ascii="原版宋体" w:hAnsi="原版宋体" w:eastAsia="仿宋_GB2312" w:cs="Times New Roman"/>
          <w:sz w:val="32"/>
          <w:szCs w:val="32"/>
        </w:rPr>
      </w:pPr>
    </w:p>
    <w:p>
      <w:pPr>
        <w:widowControl/>
        <w:kinsoku w:val="0"/>
        <w:autoSpaceDE w:val="0"/>
        <w:autoSpaceDN w:val="0"/>
        <w:adjustRightInd w:val="0"/>
        <w:snapToGrid/>
        <w:spacing w:before="0" w:after="0" w:line="240" w:lineRule="auto"/>
        <w:ind w:right="0" w:rightChars="0"/>
        <w:jc w:val="left"/>
        <w:textAlignment w:val="baseline"/>
        <w:rPr>
          <w:rFonts w:ascii="原版宋体" w:hAnsi="原版宋体" w:eastAsia="仿宋_GB2312" w:cs="Times New Roman"/>
          <w:sz w:val="32"/>
          <w:szCs w:val="32"/>
        </w:rPr>
      </w:pPr>
    </w:p>
    <w:p>
      <w:pPr>
        <w:widowControl/>
        <w:kinsoku w:val="0"/>
        <w:autoSpaceDE w:val="0"/>
        <w:autoSpaceDN w:val="0"/>
        <w:adjustRightInd w:val="0"/>
        <w:snapToGrid/>
        <w:spacing w:before="0" w:after="0" w:line="240" w:lineRule="auto"/>
        <w:ind w:right="0" w:rightChars="0"/>
        <w:jc w:val="left"/>
        <w:textAlignment w:val="baseline"/>
        <w:rPr>
          <w:rFonts w:ascii="原版宋体" w:hAnsi="原版宋体" w:eastAsia="仿宋_GB2312" w:cs="Times New Roman"/>
          <w:sz w:val="32"/>
          <w:szCs w:val="32"/>
        </w:rPr>
      </w:pPr>
    </w:p>
    <w:p>
      <w:pPr>
        <w:widowControl/>
        <w:kinsoku w:val="0"/>
        <w:autoSpaceDE w:val="0"/>
        <w:autoSpaceDN w:val="0"/>
        <w:adjustRightInd w:val="0"/>
        <w:snapToGrid/>
        <w:spacing w:before="0" w:after="0" w:line="240" w:lineRule="auto"/>
        <w:ind w:right="0" w:rightChars="0"/>
        <w:jc w:val="left"/>
        <w:textAlignment w:val="baseline"/>
        <w:rPr>
          <w:rFonts w:ascii="原版宋体" w:hAnsi="原版宋体" w:eastAsia="仿宋_GB2312" w:cs="Times New Roman"/>
          <w:sz w:val="32"/>
          <w:szCs w:val="32"/>
        </w:rPr>
      </w:pPr>
    </w:p>
    <w:p>
      <w:pPr>
        <w:rPr>
          <w:rFonts w:hint="eastAsia" w:ascii="原版宋体" w:hAnsi="原版宋体" w:eastAsia="仿宋" w:cs="华文仿宋"/>
          <w:color w:val="FF0000"/>
          <w:sz w:val="32"/>
          <w:szCs w:val="32"/>
          <w:lang w:bidi="ar"/>
        </w:rPr>
      </w:pPr>
    </w:p>
    <w:p>
      <w:pPr>
        <w:rPr>
          <w:rFonts w:hint="eastAsia" w:ascii="原版宋体" w:hAnsi="原版宋体" w:eastAsia="仿宋" w:cs="华文仿宋"/>
          <w:color w:val="FF0000"/>
          <w:sz w:val="32"/>
          <w:szCs w:val="32"/>
          <w:lang w:bidi="ar"/>
        </w:rPr>
      </w:pPr>
    </w:p>
    <w:p>
      <w:pPr>
        <w:ind w:firstLine="5120" w:firstLineChars="1600"/>
        <w:rPr>
          <w:rFonts w:hint="eastAsia" w:ascii="原版宋体" w:hAnsi="原版宋体"/>
          <w:sz w:val="32"/>
          <w:szCs w:val="32"/>
        </w:rPr>
      </w:pPr>
    </w:p>
    <w:p>
      <w:pPr>
        <w:ind w:firstLine="5120" w:firstLineChars="1600"/>
        <w:rPr>
          <w:rFonts w:hint="eastAsia" w:ascii="原版宋体" w:hAnsi="原版宋体"/>
          <w:sz w:val="32"/>
          <w:szCs w:val="32"/>
        </w:rPr>
      </w:pPr>
    </w:p>
    <w:p>
      <w:pPr>
        <w:pStyle w:val="2"/>
        <w:snapToGrid/>
        <w:rPr>
          <w:rFonts w:hint="eastAsia" w:ascii="原版宋体" w:hAnsi="原版宋体"/>
          <w:sz w:val="32"/>
          <w:szCs w:val="32"/>
        </w:rPr>
      </w:pPr>
    </w:p>
    <w:p>
      <w:pPr>
        <w:rPr>
          <w:rFonts w:hint="eastAsia" w:ascii="原版宋体" w:hAnsi="原版宋体"/>
          <w:sz w:val="32"/>
          <w:szCs w:val="32"/>
        </w:rPr>
      </w:pPr>
    </w:p>
    <w:p>
      <w:pPr>
        <w:pStyle w:val="2"/>
        <w:snapToGrid/>
        <w:rPr>
          <w:rFonts w:hint="eastAsia" w:ascii="原版宋体" w:hAnsi="原版宋体"/>
          <w:sz w:val="32"/>
          <w:szCs w:val="32"/>
        </w:rPr>
      </w:pPr>
    </w:p>
    <w:p>
      <w:pPr>
        <w:rPr>
          <w:rFonts w:hint="eastAsia" w:ascii="原版宋体" w:hAnsi="原版宋体"/>
          <w:sz w:val="32"/>
          <w:szCs w:val="32"/>
        </w:rPr>
      </w:pPr>
    </w:p>
    <w:p>
      <w:pPr>
        <w:pStyle w:val="2"/>
        <w:snapToGrid/>
        <w:rPr>
          <w:rFonts w:hint="eastAsia" w:ascii="原版宋体" w:hAnsi="原版宋体"/>
          <w:sz w:val="32"/>
          <w:szCs w:val="32"/>
        </w:rPr>
      </w:pPr>
    </w:p>
    <w:p>
      <w:pPr>
        <w:rPr>
          <w:rFonts w:hint="eastAsia" w:ascii="原版宋体" w:hAnsi="原版宋体"/>
          <w:sz w:val="32"/>
          <w:szCs w:val="32"/>
        </w:rPr>
      </w:pPr>
    </w:p>
    <w:p>
      <w:pPr>
        <w:pStyle w:val="2"/>
        <w:snapToGrid/>
        <w:rPr>
          <w:rFonts w:hint="eastAsia" w:ascii="原版宋体" w:hAnsi="原版宋体"/>
          <w:sz w:val="32"/>
          <w:szCs w:val="32"/>
        </w:rPr>
      </w:pPr>
    </w:p>
    <w:p>
      <w:pPr>
        <w:pStyle w:val="2"/>
        <w:snapToGrid/>
        <w:rPr>
          <w:rFonts w:hint="eastAsia" w:ascii="原版宋体" w:hAnsi="原版宋体"/>
          <w:sz w:val="32"/>
          <w:szCs w:val="32"/>
        </w:rPr>
      </w:pPr>
    </w:p>
    <w:p>
      <w:pPr>
        <w:rPr>
          <w:rFonts w:hint="eastAsia" w:ascii="原版宋体" w:hAnsi="原版宋体"/>
          <w:sz w:val="32"/>
          <w:szCs w:val="32"/>
        </w:rPr>
      </w:pPr>
    </w:p>
    <w:p>
      <w:pPr>
        <w:pStyle w:val="2"/>
        <w:snapToGrid/>
        <w:rPr>
          <w:rFonts w:hint="eastAsia" w:ascii="原版宋体" w:hAnsi="原版宋体"/>
          <w:sz w:val="32"/>
          <w:szCs w:val="32"/>
        </w:rPr>
      </w:pPr>
    </w:p>
    <w:p>
      <w:pPr>
        <w:rPr>
          <w:rFonts w:hint="default" w:ascii="原版宋体" w:hAnsi="原版宋体"/>
        </w:rPr>
      </w:pPr>
    </w:p>
    <w:p>
      <w:pPr>
        <w:ind w:firstLine="5120" w:firstLineChars="1600"/>
        <w:rPr>
          <w:rFonts w:ascii="原版宋体" w:hAnsi="原版宋体"/>
          <w:sz w:val="32"/>
          <w:szCs w:val="32"/>
        </w:rPr>
      </w:pPr>
    </w:p>
    <w:p>
      <w:pPr>
        <w:rPr>
          <w:rFonts w:hint="eastAsia" w:ascii="原版宋体" w:hAnsi="原版宋体" w:eastAsia="仿宋_GB2312"/>
          <w:sz w:val="28"/>
          <w:szCs w:val="28"/>
        </w:rPr>
      </w:pPr>
      <w:r>
        <w:rPr>
          <w:rFonts w:ascii="原版宋体" w:hAnsi="原版宋体" w:eastAsia="仿宋_GB2312"/>
          <w:sz w:val="28"/>
          <w:szCs w:val="28"/>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19050</wp:posOffset>
                </wp:positionV>
                <wp:extent cx="5667375" cy="0"/>
                <wp:effectExtent l="0" t="0" r="0" b="0"/>
                <wp:wrapNone/>
                <wp:docPr id="38" name="直接连接符 38"/>
                <wp:cNvGraphicFramePr/>
                <a:graphic xmlns:a="http://schemas.openxmlformats.org/drawingml/2006/main">
                  <a:graphicData uri="http://schemas.microsoft.com/office/word/2010/wordprocessingShape">
                    <wps:wsp>
                      <wps:cNvCnPr/>
                      <wps:spPr>
                        <a:xfrm>
                          <a:off x="0" y="0"/>
                          <a:ext cx="5667375" cy="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0pt;margin-top:1.5pt;height:0pt;width:446.25pt;z-index:251672576;mso-width-relative:page;mso-height-relative:page;" filled="f" stroked="t" coordsize="21600,21600" o:gfxdata="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Rp5vt9QAAAAEAQAADwAAAAAAAAABACAAAAA4&#10;AAAAZHJzL2Rvd25yZXYueG1sUEsBAhQAFAAAAAgAh07iQDMFcQL4AQAA5wMAAA4AAAAAAAAAAQAg&#10;AAAAOQEAAGRycy9lMm9Eb2MueG1sUEsFBgAAAAAGAAYAWQEAAKMFAAAAAA==&#10;">
                <v:fill on="f" focussize="0,0"/>
                <v:stroke weight="1pt" color="#000000" joinstyle="round"/>
                <v:imagedata o:title=""/>
                <o:lock v:ext="edit" aspectratio="f"/>
              </v:line>
            </w:pict>
          </mc:Fallback>
        </mc:AlternateContent>
      </w:r>
      <w:r>
        <w:rPr>
          <w:rFonts w:ascii="原版宋体" w:hAnsi="原版宋体" w:eastAsia="仿宋_GB2312"/>
          <w:sz w:val="28"/>
          <w:szCs w:val="28"/>
        </w:rPr>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367665</wp:posOffset>
                </wp:positionV>
                <wp:extent cx="5667375" cy="0"/>
                <wp:effectExtent l="0" t="0" r="0" b="0"/>
                <wp:wrapNone/>
                <wp:docPr id="32" name="直接连接符 32"/>
                <wp:cNvGraphicFramePr/>
                <a:graphic xmlns:a="http://schemas.openxmlformats.org/drawingml/2006/main">
                  <a:graphicData uri="http://schemas.microsoft.com/office/word/2010/wordprocessingShape">
                    <wps:wsp>
                      <wps:cNvCnPr/>
                      <wps:spPr>
                        <a:xfrm>
                          <a:off x="0" y="0"/>
                          <a:ext cx="5667375" cy="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0pt;margin-top:28.95pt;height:0pt;width:446.25pt;z-index:251673600;mso-width-relative:page;mso-height-relative:page;" filled="f" stroked="t" coordsize="21600,21600" o:gfxdata="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WAAAAZHJzL1BLAQIUABQAAAAIAIdO4kBmXDfx1gAAAAYBAAAPAAAAAAAAAAEAIAAA&#10;ADgAAABkcnMvZG93bnJldi54bWxQSwECFAAUAAAACACHTuJADh0ubfgBAADnAwAADgAAAAAAAAAB&#10;ACAAAAA7AQAAZHJzL2Uyb0RvYy54bWxQSwUGAAAAAAYABgBZAQAApQUAAAAA&#10;">
                <v:fill on="f" focussize="0,0"/>
                <v:stroke weight="1pt" color="#000000" joinstyle="round"/>
                <v:imagedata o:title=""/>
                <o:lock v:ext="edit" aspectratio="f"/>
              </v:line>
            </w:pict>
          </mc:Fallback>
        </mc:AlternateContent>
      </w:r>
      <w:r>
        <w:rPr>
          <w:rFonts w:ascii="原版宋体" w:hAnsi="原版宋体" w:eastAsia="仿宋_GB2312"/>
          <w:sz w:val="28"/>
          <w:szCs w:val="28"/>
        </w:rPr>
        <w:t xml:space="preserve">  湖南省卫生</w:t>
      </w:r>
      <w:r>
        <w:rPr>
          <w:rFonts w:hint="eastAsia" w:ascii="原版宋体" w:hAnsi="原版宋体" w:eastAsia="仿宋_GB2312"/>
          <w:sz w:val="28"/>
          <w:szCs w:val="28"/>
        </w:rPr>
        <w:t>健康委员会</w:t>
      </w:r>
      <w:r>
        <w:rPr>
          <w:rFonts w:ascii="原版宋体" w:hAnsi="原版宋体" w:eastAsia="仿宋_GB2312"/>
          <w:sz w:val="28"/>
          <w:szCs w:val="28"/>
        </w:rPr>
        <w:t xml:space="preserve">办公室           </w:t>
      </w:r>
      <w:r>
        <w:rPr>
          <w:rFonts w:hint="eastAsia" w:ascii="原版宋体" w:hAnsi="原版宋体" w:eastAsia="仿宋_GB2312"/>
          <w:sz w:val="28"/>
          <w:szCs w:val="28"/>
        </w:rPr>
        <w:t xml:space="preserve"> </w:t>
      </w:r>
      <w:r>
        <w:rPr>
          <w:rFonts w:ascii="原版宋体" w:hAnsi="原版宋体" w:eastAsia="仿宋_GB2312"/>
          <w:sz w:val="28"/>
          <w:szCs w:val="28"/>
        </w:rPr>
        <w:t xml:space="preserve"> 20</w:t>
      </w:r>
      <w:r>
        <w:rPr>
          <w:rFonts w:hint="eastAsia" w:ascii="原版宋体" w:hAnsi="原版宋体" w:eastAsia="仿宋_GB2312"/>
          <w:sz w:val="28"/>
          <w:szCs w:val="28"/>
        </w:rPr>
        <w:t>2</w:t>
      </w:r>
      <w:r>
        <w:rPr>
          <w:rFonts w:hint="default" w:ascii="原版宋体" w:hAnsi="原版宋体" w:eastAsia="仿宋_GB2312"/>
          <w:sz w:val="28"/>
          <w:szCs w:val="28"/>
          <w:lang w:val="en"/>
        </w:rPr>
        <w:t>2</w:t>
      </w:r>
      <w:r>
        <w:rPr>
          <w:rFonts w:ascii="原版宋体" w:hAnsi="原版宋体" w:eastAsia="仿宋_GB2312"/>
          <w:sz w:val="28"/>
          <w:szCs w:val="28"/>
        </w:rPr>
        <w:t>年</w:t>
      </w:r>
      <w:r>
        <w:rPr>
          <w:rFonts w:hint="eastAsia" w:ascii="原版宋体" w:hAnsi="原版宋体" w:eastAsia="仿宋_GB2312"/>
          <w:sz w:val="28"/>
          <w:szCs w:val="28"/>
        </w:rPr>
        <w:t>1</w:t>
      </w:r>
      <w:r>
        <w:rPr>
          <w:rFonts w:hint="default" w:ascii="原版宋体" w:hAnsi="原版宋体" w:eastAsia="仿宋_GB2312"/>
          <w:sz w:val="28"/>
          <w:szCs w:val="28"/>
          <w:lang w:val="en"/>
        </w:rPr>
        <w:t>2</w:t>
      </w:r>
      <w:r>
        <w:rPr>
          <w:rFonts w:ascii="原版宋体" w:hAnsi="原版宋体" w:eastAsia="仿宋_GB2312"/>
          <w:sz w:val="28"/>
          <w:szCs w:val="28"/>
        </w:rPr>
        <w:t>月</w:t>
      </w:r>
      <w:r>
        <w:rPr>
          <w:rFonts w:hint="default" w:ascii="原版宋体" w:hAnsi="原版宋体" w:eastAsia="仿宋_GB2312"/>
          <w:sz w:val="28"/>
          <w:szCs w:val="28"/>
          <w:lang w:val="en"/>
        </w:rPr>
        <w:t>12</w:t>
      </w:r>
      <w:r>
        <w:rPr>
          <w:rFonts w:ascii="原版宋体" w:hAnsi="原版宋体" w:eastAsia="仿宋_GB2312"/>
          <w:sz w:val="28"/>
          <w:szCs w:val="28"/>
        </w:rPr>
        <w:t>日印发</w:t>
      </w:r>
    </w:p>
    <w:p>
      <w:pPr>
        <w:widowControl/>
        <w:kinsoku w:val="0"/>
        <w:autoSpaceDE w:val="0"/>
        <w:autoSpaceDN w:val="0"/>
        <w:adjustRightInd w:val="0"/>
        <w:snapToGrid/>
        <w:spacing w:before="0" w:after="0" w:line="240" w:lineRule="auto"/>
        <w:ind w:right="0" w:rightChars="0" w:firstLine="7000" w:firstLineChars="2500"/>
        <w:jc w:val="left"/>
        <w:textAlignment w:val="baseline"/>
        <w:rPr>
          <w:rFonts w:hint="eastAsia" w:ascii="原版宋体" w:hAnsi="原版宋体" w:eastAsia="仿宋_GB2312" w:cs="Times New Roman"/>
          <w:sz w:val="28"/>
          <w:szCs w:val="28"/>
        </w:rPr>
      </w:pPr>
      <w:r>
        <w:rPr>
          <w:rFonts w:hint="eastAsia" w:ascii="原版宋体" w:hAnsi="原版宋体" w:eastAsia="仿宋_GB2312" w:cs="Times New Roman"/>
          <w:sz w:val="28"/>
          <w:szCs w:val="28"/>
          <w:lang w:eastAsia="zh-CN"/>
        </w:rPr>
        <w:t>校对：孙永忠</w:t>
      </w:r>
    </w:p>
    <w:sectPr>
      <w:headerReference r:id="rId24" w:type="default"/>
      <w:footerReference r:id="rId25" w:type="default"/>
      <w:pgSz w:w="11906" w:h="16838"/>
      <w:pgMar w:top="2098" w:right="1474" w:bottom="1984" w:left="1587" w:header="850" w:footer="1191" w:gutter="0"/>
      <w:pgNumType w:fmt="decimal" w:start="1"/>
      <w:cols w:space="0" w:num="1"/>
      <w:formProt w:val="0"/>
      <w:rtlGutter w:val="0"/>
      <w:docGrid w:type="lines" w:linePitch="57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6342478B-34E2-7FA7-6F0F-A063816C1083}"/>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等线">
    <w:altName w:val="汉仪中等线KW"/>
    <w:panose1 w:val="00000000000000000000"/>
    <w:charset w:val="00"/>
    <w:family w:val="auto"/>
    <w:pitch w:val="default"/>
    <w:sig w:usb0="00000000" w:usb1="00000000" w:usb2="00000016" w:usb3="00000000" w:csb0="0004000F" w:csb1="00000000"/>
  </w:font>
  <w:font w:name="汉仪中等线KW">
    <w:panose1 w:val="01010104010101010101"/>
    <w:charset w:val="86"/>
    <w:family w:val="auto"/>
    <w:pitch w:val="default"/>
    <w:sig w:usb0="00000000" w:usb1="00000000" w:usb2="00000000" w:usb3="00000000" w:csb0="00160000" w:csb1="00000000"/>
  </w:font>
  <w:font w:name="原版宋体">
    <w:altName w:val="汉仪书宋二KW"/>
    <w:panose1 w:val="02010600030101010101"/>
    <w:charset w:val="86"/>
    <w:family w:val="auto"/>
    <w:pitch w:val="default"/>
    <w:sig w:usb0="00000000" w:usb1="00000000" w:usb2="00000000" w:usb3="00000000" w:csb0="00040001" w:csb1="00000000"/>
  </w:font>
  <w:font w:name="方正小标宋简体">
    <w:altName w:val="汉仪书宋二KW"/>
    <w:panose1 w:val="02000000000000000000"/>
    <w:charset w:val="86"/>
    <w:family w:val="script"/>
    <w:pitch w:val="default"/>
    <w:sig w:usb0="00000000" w:usb1="00000000" w:usb2="00000012" w:usb3="00000000" w:csb0="00040001"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0" w:usb1="00000000" w:usb2="00000000" w:usb3="00000000" w:csb0="00160000" w:csb1="00000000"/>
  </w:font>
  <w:font w:name="华文楷体">
    <w:panose1 w:val="02010600040101010101"/>
    <w:charset w:val="86"/>
    <w:family w:val="auto"/>
    <w:pitch w:val="default"/>
    <w:sig w:usb0="00000000" w:usb1="00000000" w:usb2="00000000" w:usb3="00000000" w:csb0="00160000" w:csb1="00000000"/>
  </w:font>
  <w:font w:name="方正小标宋_GBK">
    <w:altName w:val="汉仪书宋二KW"/>
    <w:panose1 w:val="02000000000000000000"/>
    <w:charset w:val="86"/>
    <w:family w:val="script"/>
    <w:pitch w:val="default"/>
    <w:sig w:usb0="00000000" w:usb1="00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华文仿宋">
    <w:panose1 w:val="02010600040101010101"/>
    <w:charset w:val="86"/>
    <w:family w:val="auto"/>
    <w:pitch w:val="default"/>
    <w:sig w:usb0="00000000" w:usb1="00000000" w:usb2="00000000" w:usb3="00000000" w:csb0="00160000" w:csb1="00000000"/>
    <w:embedRegular r:id="rId2" w:fontKey="{F799B46B-F6C8-436F-6F0F-A063293991B1}"/>
  </w:font>
  <w:font w:name="宋体-简">
    <w:panose1 w:val="02010600040101010101"/>
    <w:charset w:val="86"/>
    <w:family w:val="auto"/>
    <w:pitch w:val="default"/>
    <w:sig w:usb0="00000000" w:usb1="00000000" w:usb2="00000000" w:usb3="00000000" w:csb0="0016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jc w:val="left"/>
      <w:rPr>
        <w:rFonts w:ascii="Calibri" w:hAnsi="Calibri" w:eastAsia="宋体" w:cs="Times New Roman"/>
        <w:sz w:val="18"/>
        <w:szCs w:val="18"/>
      </w:rPr>
    </w:pPr>
  </w:p>
  <w:p>
    <w:pPr>
      <w:tabs>
        <w:tab w:val="center" w:pos="4153"/>
        <w:tab w:val="right" w:pos="8306"/>
      </w:tabs>
      <w:snapToGrid w:val="0"/>
      <w:jc w:val="left"/>
      <w:rPr>
        <w:rFonts w:ascii="Calibri" w:hAnsi="Calibri" w:eastAsia="宋体" w:cs="Times New Roman"/>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ind w:right="210" w:rightChars="100"/>
      <w:jc w:val="right"/>
      <w:rPr>
        <w:rFonts w:ascii="Times New Roman" w:hAnsi="Times New Roman" w:eastAsia="宋体" w:cs="Times New Roman"/>
        <w:sz w:val="18"/>
        <w:szCs w:val="18"/>
      </w:rPr>
    </w:pPr>
    <w:r>
      <w:rPr>
        <w:rFonts w:ascii="Times New Roman" w:hAnsi="Times New Roman" w:eastAsia="宋体" w:cs="Times New Roman"/>
        <w:sz w:val="18"/>
        <w:szCs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ind w:right="210" w:rightChars="100"/>
                            <w:jc w:val="right"/>
                            <w:rPr>
                              <w:rFonts w:ascii="Times New Roman" w:hAnsi="Times New Roman" w:eastAsia="宋体" w:cs="Times New Roman"/>
                              <w:sz w:val="18"/>
                              <w:szCs w:val="18"/>
                            </w:rPr>
                          </w:pP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WAAAAZHJzL1BLAQIUABQAAAAIAIdO4kDOqXm5zwAAAAUBAAAPAAAAAAAAAAEAIAAAADgA&#10;AABkcnMvZG93bnJldi54bWxQSwECFAAUAAAACACHTuJALQDm9MMBAACPAwAADgAAAAAAAAABACAA&#10;AAA0AQAAZHJzL2Uyb0RvYy54bWxQSwUGAAAAAAYABgBZAQAAaQUAAAAA&#10;">
              <v:fill on="f" focussize="0,0"/>
              <v:stroke on="f"/>
              <v:imagedata o:title=""/>
              <o:lock v:ext="edit" aspectratio="f"/>
              <v:textbox inset="0mm,0mm,0mm,0mm" style="mso-fit-shape-to-text:t;">
                <w:txbxContent>
                  <w:p>
                    <w:pPr>
                      <w:snapToGrid w:val="0"/>
                      <w:ind w:right="210" w:rightChars="100"/>
                      <w:jc w:val="right"/>
                      <w:rPr>
                        <w:rFonts w:ascii="Times New Roman" w:hAnsi="Times New Roman" w:eastAsia="宋体" w:cs="Times New Roman"/>
                        <w:sz w:val="18"/>
                        <w:szCs w:val="18"/>
                      </w:rPr>
                    </w:pPr>
                  </w:p>
                </w:txbxContent>
              </v:textbox>
            </v:shape>
          </w:pict>
        </mc:Fallback>
      </mc:AlternateContent>
    </w:r>
  </w:p>
  <w:p>
    <w:pPr>
      <w:snapToGrid w:val="0"/>
      <w:ind w:right="210" w:rightChars="100"/>
      <w:jc w:val="right"/>
      <w:rPr>
        <w:rFonts w:ascii="Times New Roman" w:hAnsi="Times New Roman" w:eastAsia="宋体" w:cs="Times New Roman"/>
        <w:sz w:val="18"/>
        <w:szCs w:val="1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ind w:right="210" w:rightChars="100"/>
      <w:jc w:val="right"/>
      <w:rPr>
        <w:rFonts w:ascii="Times New Roman" w:hAnsi="Times New Roman" w:eastAsia="宋体" w:cs="Times New Roman"/>
        <w:sz w:val="18"/>
        <w:szCs w:val="18"/>
      </w:rPr>
    </w:pPr>
    <w:r>
      <w:rPr>
        <w:rFonts w:ascii="Times New Roman" w:hAnsi="Times New Roman" w:eastAsia="宋体" w:cs="Times New Roman"/>
        <w:sz w:val="18"/>
        <w:szCs w:val="18"/>
      </w:rPr>
      <mc:AlternateContent>
        <mc:Choice Requires="wps">
          <w:drawing>
            <wp:anchor distT="0" distB="0" distL="114300" distR="114300" simplePos="0" relativeHeight="251670528"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ind w:right="210" w:rightChars="100"/>
                            <w:jc w:val="right"/>
                            <w:rPr>
                              <w:rFonts w:ascii="Times New Roman" w:hAnsi="Times New Roman" w:eastAsia="宋体" w:cs="Times New Roman"/>
                              <w:sz w:val="18"/>
                              <w:szCs w:val="18"/>
                            </w:rPr>
                          </w:pPr>
                          <w:r>
                            <w:rPr>
                              <w:rFonts w:ascii="Times New Roman" w:hAnsi="Times New Roman" w:eastAsia="宋体" w:cs="Times New Roman"/>
                              <w:sz w:val="18"/>
                              <w:szCs w:val="18"/>
                            </w:rPr>
                            <w:fldChar w:fldCharType="begin"/>
                          </w:r>
                          <w:r>
                            <w:rPr>
                              <w:rFonts w:ascii="Times New Roman" w:hAnsi="Times New Roman" w:eastAsia="宋体" w:cs="Times New Roman"/>
                              <w:sz w:val="18"/>
                              <w:szCs w:val="18"/>
                            </w:rPr>
                            <w:instrText xml:space="preserve"> PAGE  \* MERGEFORMAT </w:instrText>
                          </w:r>
                          <w:r>
                            <w:rPr>
                              <w:rFonts w:ascii="Times New Roman" w:hAnsi="Times New Roman" w:eastAsia="宋体" w:cs="Times New Roman"/>
                              <w:sz w:val="18"/>
                              <w:szCs w:val="18"/>
                            </w:rPr>
                            <w:fldChar w:fldCharType="separate"/>
                          </w:r>
                          <w:r>
                            <w:rPr>
                              <w:rFonts w:ascii="Times New Roman" w:hAnsi="Times New Roman" w:eastAsia="宋体" w:cs="Times New Roman"/>
                              <w:sz w:val="18"/>
                              <w:szCs w:val="18"/>
                            </w:rPr>
                            <w:t>1</w:t>
                          </w:r>
                          <w:r>
                            <w:rPr>
                              <w:rFonts w:ascii="Times New Roman" w:hAnsi="Times New Roman" w:eastAsia="宋体" w:cs="Times New Roman"/>
                              <w:sz w:val="18"/>
                              <w:szCs w:val="18"/>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052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BYAAABkcnMvUEsBAhQAFAAAAAgAh07iQM6pebnPAAAABQEAAA8AAAAAAAAAAQAgAAAAOAAA&#10;AGRycy9kb3ducmV2LnhtbFBLAQIUABQAAAAIAIdO4kDJ/BjWwgEAAI8DAAAOAAAAAAAAAAEAIAAA&#10;ADQBAABkcnMvZTJvRG9jLnhtbFBLBQYAAAAABgAGAFkBAABoBQAAAAA=&#10;">
              <v:fill on="f" focussize="0,0"/>
              <v:stroke on="f"/>
              <v:imagedata o:title=""/>
              <o:lock v:ext="edit" aspectratio="f"/>
              <v:textbox inset="0mm,0mm,0mm,0mm" style="mso-fit-shape-to-text:t;">
                <w:txbxContent>
                  <w:p>
                    <w:pPr>
                      <w:snapToGrid w:val="0"/>
                      <w:ind w:right="210" w:rightChars="100"/>
                      <w:jc w:val="right"/>
                      <w:rPr>
                        <w:rFonts w:ascii="Times New Roman" w:hAnsi="Times New Roman" w:eastAsia="宋体" w:cs="Times New Roman"/>
                        <w:sz w:val="18"/>
                        <w:szCs w:val="18"/>
                      </w:rPr>
                    </w:pPr>
                    <w:r>
                      <w:rPr>
                        <w:rFonts w:ascii="Times New Roman" w:hAnsi="Times New Roman" w:eastAsia="宋体" w:cs="Times New Roman"/>
                        <w:sz w:val="18"/>
                        <w:szCs w:val="18"/>
                      </w:rPr>
                      <w:fldChar w:fldCharType="begin"/>
                    </w:r>
                    <w:r>
                      <w:rPr>
                        <w:rFonts w:ascii="Times New Roman" w:hAnsi="Times New Roman" w:eastAsia="宋体" w:cs="Times New Roman"/>
                        <w:sz w:val="18"/>
                        <w:szCs w:val="18"/>
                      </w:rPr>
                      <w:instrText xml:space="preserve"> PAGE  \* MERGEFORMAT </w:instrText>
                    </w:r>
                    <w:r>
                      <w:rPr>
                        <w:rFonts w:ascii="Times New Roman" w:hAnsi="Times New Roman" w:eastAsia="宋体" w:cs="Times New Roman"/>
                        <w:sz w:val="18"/>
                        <w:szCs w:val="18"/>
                      </w:rPr>
                      <w:fldChar w:fldCharType="separate"/>
                    </w:r>
                    <w:r>
                      <w:rPr>
                        <w:rFonts w:ascii="Times New Roman" w:hAnsi="Times New Roman" w:eastAsia="宋体" w:cs="Times New Roman"/>
                        <w:sz w:val="18"/>
                        <w:szCs w:val="18"/>
                      </w:rPr>
                      <w:t>1</w:t>
                    </w:r>
                    <w:r>
                      <w:rPr>
                        <w:rFonts w:ascii="Times New Roman" w:hAnsi="Times New Roman" w:eastAsia="宋体" w:cs="Times New Roman"/>
                        <w:sz w:val="18"/>
                        <w:szCs w:val="18"/>
                      </w:rPr>
                      <w:fldChar w:fldCharType="end"/>
                    </w:r>
                  </w:p>
                </w:txbxContent>
              </v:textbox>
            </v:shape>
          </w:pict>
        </mc:Fallback>
      </mc:AlternateContent>
    </w:r>
  </w:p>
  <w:p>
    <w:pPr>
      <w:snapToGrid w:val="0"/>
      <w:ind w:right="210" w:rightChars="100"/>
      <w:jc w:val="right"/>
      <w:rPr>
        <w:rFonts w:ascii="Times New Roman" w:hAnsi="Times New Roman" w:eastAsia="宋体" w:cs="Times New Roman"/>
        <w:sz w:val="18"/>
        <w:szCs w:val="18"/>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ind w:right="210" w:rightChars="100"/>
      <w:jc w:val="right"/>
      <w:rPr>
        <w:rFonts w:ascii="Times New Roman" w:hAnsi="Times New Roman" w:eastAsia="宋体" w:cs="Times New Roman"/>
        <w:sz w:val="18"/>
        <w:szCs w:val="18"/>
      </w:rPr>
    </w:pPr>
  </w:p>
  <w:p>
    <w:pPr>
      <w:snapToGrid w:val="0"/>
      <w:ind w:right="210" w:rightChars="100"/>
      <w:jc w:val="right"/>
      <w:rPr>
        <w:rFonts w:ascii="Times New Roman" w:hAnsi="Times New Roman" w:eastAsia="宋体" w:cs="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jc w:val="left"/>
      <w:rPr>
        <w:rFonts w:ascii="Calibri" w:hAnsi="Calibri" w:eastAsia="宋体" w:cs="Times New Roman"/>
        <w:sz w:val="18"/>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228"/>
      </w:tabs>
      <w:spacing w:before="120"/>
      <w:ind w:right="198"/>
      <w:jc w:val="left"/>
      <w:rPr>
        <w:rFonts w:ascii="宋体" w:hAnsi="Times New Roman" w:eastAsia="宋体" w:cs="Times New Roman"/>
        <w:sz w:val="18"/>
        <w:szCs w:val="18"/>
      </w:rPr>
    </w:pPr>
    <w:r>
      <w:rPr>
        <w:rFonts w:hint="eastAsia" w:ascii="宋体" w:hAnsi="Times New Roman" w:eastAsia="宋体" w:cs="Times New Roman"/>
        <w:sz w:val="18"/>
        <w:szCs w:val="18"/>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228"/>
      </w:tabs>
      <w:spacing w:before="120"/>
      <w:ind w:right="198"/>
      <w:jc w:val="left"/>
      <w:rPr>
        <w:rFonts w:ascii="宋体" w:hAnsi="Times New Roman" w:eastAsia="宋体" w:cs="Times New Roman"/>
        <w:sz w:val="18"/>
        <w:szCs w:val="18"/>
      </w:rPr>
    </w:pPr>
    <w:r>
      <w:rPr>
        <w:sz w:val="18"/>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872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s0lY7tAAAAAFAQAADwAAAAAAAAABACAAAAA4AAAAZHJzL2Rv&#10;d25yZXYueG1sUEsBAhQAFAAAAAgAh07iQA2MmrIsAgAAVwQAAA4AAAAAAAAAAQAgAAAANQEAAGRy&#10;cy9lMm9Eb2MueG1sUEsFBgAAAAAGAAYAWQEAANM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宋体" w:hAnsi="Times New Roman" w:eastAsia="宋体" w:cs="Times New Roman"/>
        <w:sz w:val="18"/>
        <w:szCs w:val="18"/>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228"/>
      </w:tabs>
      <w:spacing w:before="120"/>
      <w:ind w:right="198"/>
      <w:jc w:val="left"/>
      <w:rPr>
        <w:rFonts w:ascii="宋体" w:hAnsi="Times New Roman" w:eastAsia="宋体" w:cs="Times New Roman"/>
        <w:sz w:val="18"/>
        <w:szCs w:val="18"/>
      </w:rPr>
    </w:pPr>
    <w:r>
      <w:rPr>
        <w:sz w:val="18"/>
      </w:rP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0</wp:posOffset>
              </wp:positionV>
              <wp:extent cx="149225" cy="29845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49225" cy="298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23.5pt;width:11.75pt;mso-position-horizontal:right;mso-position-horizontal-relative:margin;z-index:251674624;mso-width-relative:page;mso-height-relative:page;" filled="f" stroked="f" coordsize="21600,21600" o:gfxdata="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Da6GJh0wAAAAMBAAAPAAAAAAAAAAEAIAAAADgA&#10;AABkcnMvZG93bnJldi54bWxQSwECFAAUAAAACACHTuJAHUR/BTECAABXBAAADgAAAAAAAAABACAA&#10;AAA4AQAAZHJzL2Uyb0RvYy54bWxQSwUGAAAAAAYABgBZAQAA2wUAAAAA&#10;">
              <v:fill on="f" focussize="0,0"/>
              <v:stroke on="f" weight="0.5pt"/>
              <v:imagedata o:title=""/>
              <o:lock v:ext="edit" aspectratio="f"/>
              <v:textbox inset="0mm,0mm,0mm,0mm">
                <w:txbxContent>
                  <w:p>
                    <w:pPr>
                      <w:pStyle w:val="2"/>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r>
      <w:rPr>
        <w:rFonts w:ascii="宋体" w:hAnsi="Times New Roman" w:eastAsia="宋体" w:cs="Times New Roman"/>
        <w:sz w:val="18"/>
        <w:szCs w:val="18"/>
      </w:rPr>
      <mc:AlternateContent>
        <mc:Choice Requires="wps">
          <w:drawing>
            <wp:anchor distT="0" distB="0" distL="114300" distR="114300" simplePos="0" relativeHeight="25167360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ind w:right="210"/>
                            <w:jc w:val="right"/>
                            <w:rPr>
                              <w:rFonts w:ascii="Times New Roman" w:hAnsi="Times New Roman" w:eastAsia="宋体" w:cs="Times New Roman"/>
                              <w:color w:val="000000"/>
                              <w:kern w:val="1"/>
                              <w:sz w:val="18"/>
                              <w:szCs w:val="18"/>
                              <w:lang w:bidi="en-U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360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CyEsQGMwIAAGUEAAAOAAAAAAAAAAEAIAAA&#10;ADUBAABkcnMvZTJvRG9jLnhtbFBLBQYAAAAABgAGAFkBAADaBQAAAAA=&#10;">
              <v:fill on="f" focussize="0,0"/>
              <v:stroke on="f" weight="0.5pt"/>
              <v:imagedata o:title=""/>
              <o:lock v:ext="edit" aspectratio="f"/>
              <v:textbox inset="0mm,0mm,0mm,0mm" style="mso-fit-shape-to-text:t;">
                <w:txbxContent>
                  <w:p>
                    <w:pPr>
                      <w:ind w:right="210"/>
                      <w:jc w:val="right"/>
                      <w:rPr>
                        <w:rFonts w:ascii="Times New Roman" w:hAnsi="Times New Roman" w:eastAsia="宋体" w:cs="Times New Roman"/>
                        <w:color w:val="000000"/>
                        <w:kern w:val="1"/>
                        <w:sz w:val="18"/>
                        <w:szCs w:val="18"/>
                        <w:lang w:bidi="en-US"/>
                      </w:rPr>
                    </w:pPr>
                  </w:p>
                </w:txbxContent>
              </v:textbox>
            </v:shape>
          </w:pict>
        </mc:Fallback>
      </mc:AlternateContent>
    </w:r>
    <w:r>
      <w:rPr>
        <w:rFonts w:hint="eastAsia" w:ascii="宋体" w:hAnsi="Times New Roman" w:eastAsia="宋体" w:cs="Times New Roman"/>
        <w:sz w:val="18"/>
        <w:szCs w:val="18"/>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228"/>
      </w:tabs>
      <w:spacing w:before="120"/>
      <w:ind w:right="198"/>
      <w:jc w:val="left"/>
      <w:rPr>
        <w:rFonts w:ascii="宋体" w:hAnsi="Times New Roman" w:eastAsia="宋体" w:cs="Times New Roman"/>
        <w:sz w:val="18"/>
        <w:szCs w:val="18"/>
      </w:rPr>
    </w:pPr>
    <w:r>
      <w:rPr>
        <w:rFonts w:ascii="宋体" w:hAnsi="Times New Roman" w:eastAsia="宋体" w:cs="Times New Roman"/>
        <w:sz w:val="18"/>
        <w:szCs w:val="18"/>
      </w:rPr>
      <mc:AlternateContent>
        <mc:Choice Requires="wps">
          <w:drawing>
            <wp:anchor distT="0" distB="0" distL="114300" distR="114300" simplePos="0" relativeHeight="251675648" behindDoc="0" locked="0" layoutInCell="1" allowOverlap="1">
              <wp:simplePos x="0" y="0"/>
              <wp:positionH relativeFrom="margin">
                <wp:align>outside</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ind w:right="210"/>
                            <w:jc w:val="right"/>
                            <w:rPr>
                              <w:rFonts w:ascii="Times New Roman" w:hAnsi="Times New Roman" w:eastAsia="Times New Roman" w:cs="Times New Roman"/>
                              <w:color w:val="000000"/>
                              <w:kern w:val="1"/>
                              <w:sz w:val="18"/>
                              <w:szCs w:val="18"/>
                              <w:lang w:eastAsia="en-US" w:bidi="en-U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564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&#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4Q5sQjECAABlBAAADgAAAAAAAAABACAAAAA1&#10;AQAAZHJzL2Uyb0RvYy54bWxQSwUGAAAAAAYABgBZAQAA2AUAAAAA&#10;">
              <v:fill on="f" focussize="0,0"/>
              <v:stroke on="f" weight="0.5pt"/>
              <v:imagedata o:title=""/>
              <o:lock v:ext="edit" aspectratio="f"/>
              <v:textbox inset="0mm,0mm,0mm,0mm" style="mso-fit-shape-to-text:t;">
                <w:txbxContent>
                  <w:p>
                    <w:pPr>
                      <w:ind w:right="210"/>
                      <w:jc w:val="right"/>
                      <w:rPr>
                        <w:rFonts w:ascii="Times New Roman" w:hAnsi="Times New Roman" w:eastAsia="Times New Roman" w:cs="Times New Roman"/>
                        <w:color w:val="000000"/>
                        <w:kern w:val="1"/>
                        <w:sz w:val="18"/>
                        <w:szCs w:val="18"/>
                        <w:lang w:eastAsia="en-US" w:bidi="en-US"/>
                      </w:rPr>
                    </w:pPr>
                  </w:p>
                </w:txbxContent>
              </v:textbox>
            </v:shape>
          </w:pict>
        </mc:Fallback>
      </mc:AlternateContent>
    </w:r>
    <w:r>
      <w:rPr>
        <w:rFonts w:hint="eastAsia" w:ascii="宋体" w:hAnsi="Times New Roman" w:eastAsia="宋体" w:cs="Times New Roman"/>
        <w:sz w:val="18"/>
        <w:szCs w:val="18"/>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228"/>
      </w:tabs>
      <w:spacing w:before="120"/>
      <w:ind w:right="198"/>
      <w:jc w:val="left"/>
      <w:rPr>
        <w:rFonts w:ascii="宋体" w:hAnsi="Times New Roman" w:eastAsia="宋体" w:cs="Times New Roman"/>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769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WAAAA&#10;ZHJzL1BLAQIUABQAAAAIAIdO4kCzSVju0AAAAAUBAAAPAAAAAAAAAAEAIAAAADgAAABkcnMvZG93&#10;bnJldi54bWxQSwECFAAUAAAACACHTuJAvCcA6CsCAABXBAAADgAAAAAAAAABACAAAAA1AQAAZHJz&#10;L2Uyb0RvYy54bWxQSwUGAAAAAAYABgBZAQAA0gU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r>
      <w:rPr>
        <w:rFonts w:ascii="宋体" w:hAnsi="Times New Roman" w:eastAsia="宋体" w:cs="Times New Roman"/>
        <w:sz w:val="18"/>
        <w:szCs w:val="18"/>
      </w:rPr>
      <mc:AlternateContent>
        <mc:Choice Requires="wps">
          <w:drawing>
            <wp:anchor distT="0" distB="0" distL="114300" distR="114300" simplePos="0" relativeHeight="251676672" behindDoc="0" locked="0" layoutInCell="1" allowOverlap="1">
              <wp:simplePos x="0" y="0"/>
              <wp:positionH relativeFrom="margin">
                <wp:align>outside</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ind w:right="210"/>
                            <w:jc w:val="right"/>
                            <w:rPr>
                              <w:rFonts w:ascii="Times New Roman" w:hAnsi="Times New Roman" w:eastAsia="Times New Roman" w:cs="Times New Roman"/>
                              <w:color w:val="000000"/>
                              <w:kern w:val="1"/>
                              <w:sz w:val="18"/>
                              <w:szCs w:val="18"/>
                              <w:lang w:eastAsia="en-US" w:bidi="en-U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667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dd3pdjECAABlBAAADgAAAAAAAAABACAAAAA1&#10;AQAAZHJzL2Uyb0RvYy54bWxQSwUGAAAAAAYABgBZAQAA2AUAAAAA&#10;">
              <v:fill on="f" focussize="0,0"/>
              <v:stroke on="f" weight="0.5pt"/>
              <v:imagedata o:title=""/>
              <o:lock v:ext="edit" aspectratio="f"/>
              <v:textbox inset="0mm,0mm,0mm,0mm" style="mso-fit-shape-to-text:t;">
                <w:txbxContent>
                  <w:p>
                    <w:pPr>
                      <w:ind w:right="210"/>
                      <w:jc w:val="right"/>
                      <w:rPr>
                        <w:rFonts w:ascii="Times New Roman" w:hAnsi="Times New Roman" w:eastAsia="Times New Roman" w:cs="Times New Roman"/>
                        <w:color w:val="000000"/>
                        <w:kern w:val="1"/>
                        <w:sz w:val="18"/>
                        <w:szCs w:val="18"/>
                        <w:lang w:eastAsia="en-US" w:bidi="en-US"/>
                      </w:rPr>
                    </w:pPr>
                  </w:p>
                </w:txbxContent>
              </v:textbox>
            </v:shape>
          </w:pict>
        </mc:Fallback>
      </mc:AlternateContent>
    </w:r>
    <w:r>
      <w:rPr>
        <w:rFonts w:hint="eastAsia" w:ascii="宋体" w:hAnsi="Times New Roman" w:eastAsia="宋体" w:cs="Times New Roman"/>
        <w:sz w:val="18"/>
        <w:szCs w:val="18"/>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228"/>
      </w:tabs>
      <w:spacing w:before="120"/>
      <w:ind w:right="198"/>
      <w:jc w:val="left"/>
      <w:rPr>
        <w:rFonts w:ascii="宋体" w:hAnsi="Times New Roman" w:eastAsia="宋体" w:cs="Times New Roman"/>
        <w:sz w:val="18"/>
        <w:szCs w:val="18"/>
      </w:rPr>
    </w:pPr>
    <w:r>
      <w:rPr>
        <w:sz w:val="18"/>
      </w:rPr>
      <mc:AlternateContent>
        <mc:Choice Requires="wps">
          <w:drawing>
            <wp:anchor distT="0" distB="0" distL="114300" distR="114300" simplePos="0" relativeHeight="251679744" behindDoc="0" locked="0" layoutInCell="1" allowOverlap="1">
              <wp:simplePos x="0" y="0"/>
              <wp:positionH relativeFrom="margin">
                <wp:align>right</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974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s0lY7tAAAAAFAQAADwAAAAAAAAABACAAAAA4AAAAZHJzL2Rv&#10;d25yZXYueG1sUEsBAhQAFAAAAAgAh07iQKXByfIsAgAAVwQAAA4AAAAAAAAAAQAgAAAANQEAAGRy&#10;cy9lMm9Eb2MueG1sUEsFBgAAAAAGAAYAWQEAANM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8</w:t>
                    </w:r>
                    <w:r>
                      <w:fldChar w:fldCharType="end"/>
                    </w:r>
                  </w:p>
                </w:txbxContent>
              </v:textbox>
            </v:shape>
          </w:pict>
        </mc:Fallback>
      </mc:AlternateContent>
    </w:r>
    <w:r>
      <w:rPr>
        <w:rFonts w:ascii="宋体" w:hAnsi="Times New Roman" w:eastAsia="宋体" w:cs="Times New Roman"/>
        <w:sz w:val="18"/>
        <w:szCs w:val="18"/>
      </w:rPr>
      <mc:AlternateContent>
        <mc:Choice Requires="wps">
          <w:drawing>
            <wp:anchor distT="0" distB="0" distL="114300" distR="114300" simplePos="0" relativeHeight="251671552" behindDoc="0" locked="0" layoutInCell="1" allowOverlap="1">
              <wp:simplePos x="0" y="0"/>
              <wp:positionH relativeFrom="margin">
                <wp:align>outside</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ind w:right="210"/>
                            <w:jc w:val="right"/>
                            <w:rPr>
                              <w:rFonts w:ascii="Times New Roman" w:hAnsi="Times New Roman" w:eastAsia="Times New Roman" w:cs="Times New Roman"/>
                              <w:color w:val="000000"/>
                              <w:kern w:val="1"/>
                              <w:sz w:val="18"/>
                              <w:szCs w:val="18"/>
                              <w:lang w:eastAsia="en-US" w:bidi="en-U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155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BeKF2JMwIAAGUEAAAOAAAAAAAAAAEAIAAA&#10;ADUBAABkcnMvZTJvRG9jLnhtbFBLBQYAAAAABgAGAFkBAADaBQAAAAA=&#10;">
              <v:fill on="f" focussize="0,0"/>
              <v:stroke on="f" weight="0.5pt"/>
              <v:imagedata o:title=""/>
              <o:lock v:ext="edit" aspectratio="f"/>
              <v:textbox inset="0mm,0mm,0mm,0mm" style="mso-fit-shape-to-text:t;">
                <w:txbxContent>
                  <w:p>
                    <w:pPr>
                      <w:ind w:right="210"/>
                      <w:jc w:val="right"/>
                      <w:rPr>
                        <w:rFonts w:ascii="Times New Roman" w:hAnsi="Times New Roman" w:eastAsia="Times New Roman" w:cs="Times New Roman"/>
                        <w:color w:val="000000"/>
                        <w:kern w:val="1"/>
                        <w:sz w:val="18"/>
                        <w:szCs w:val="18"/>
                        <w:lang w:eastAsia="en-US" w:bidi="en-US"/>
                      </w:rPr>
                    </w:pPr>
                  </w:p>
                </w:txbxContent>
              </v:textbox>
            </v:shape>
          </w:pict>
        </mc:Fallback>
      </mc:AlternateContent>
    </w:r>
    <w:r>
      <w:rPr>
        <w:rFonts w:hint="eastAsia" w:ascii="宋体" w:hAnsi="Times New Roman" w:eastAsia="宋体" w:cs="Times New Roman"/>
        <w:sz w:val="18"/>
        <w:szCs w:val="18"/>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jc w:val="center"/>
      <w:rPr>
        <w:rFonts w:ascii="宋体" w:hAnsi="宋体" w:eastAsia="宋体" w:cs="Times New Roman"/>
        <w:sz w:val="28"/>
        <w:szCs w:val="18"/>
      </w:rPr>
    </w:pPr>
    <w:r>
      <w:rPr>
        <w:rFonts w:ascii="Calibri" w:hAnsi="Calibri" w:eastAsia="宋体" w:cs="Times New Roman"/>
        <w:sz w:val="18"/>
        <w:szCs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pPr>
                            <w:snapToGrid w:val="0"/>
                            <w:jc w:val="left"/>
                            <w:rPr>
                              <w:rFonts w:ascii="Calibri" w:hAnsi="Calibri" w:eastAsia="宋体" w:cs="Times New Roman"/>
                              <w:sz w:val="18"/>
                              <w:szCs w:val="18"/>
                            </w:rPr>
                          </w:pP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WAAAAZHJzL1BLAQIUABQAAAAIAIdO4kCzSVju0AAAAAUB&#10;AAAPAAAAAAAAAAEAIAAAADgAAABkcnMvZG93bnJldi54bWxQSwECFAAUAAAACACHTuJAc5kakNQB&#10;AACkAwAADgAAAAAAAAABACAAAAA1AQAAZHJzL2Uyb0RvYy54bWxQSwUGAAAAAAYABgBZAQAAewUA&#10;AAAA&#10;">
              <v:fill on="f" focussize="0,0"/>
              <v:stroke on="f" weight="0.5pt"/>
              <v:imagedata o:title=""/>
              <o:lock v:ext="edit" aspectratio="f"/>
              <v:textbox inset="0mm,0mm,0mm,0mm" style="mso-fit-shape-to-text:t;">
                <w:txbxContent>
                  <w:p>
                    <w:pPr>
                      <w:snapToGrid w:val="0"/>
                      <w:jc w:val="left"/>
                      <w:rPr>
                        <w:rFonts w:ascii="Calibri" w:hAnsi="Calibri" w:eastAsia="宋体" w:cs="Times New Roman"/>
                        <w:sz w:val="18"/>
                        <w:szCs w:val="18"/>
                      </w:rPr>
                    </w:pPr>
                  </w:p>
                </w:txbxContent>
              </v:textbox>
            </v:shape>
          </w:pict>
        </mc:Fallback>
      </mc:AlternateContent>
    </w:r>
  </w:p>
  <w:p>
    <w:pPr>
      <w:snapToGrid w:val="0"/>
      <w:jc w:val="left"/>
      <w:rPr>
        <w:rFonts w:ascii="Calibri" w:hAnsi="Calibri" w:eastAsia="宋体" w:cs="Times New Roman"/>
        <w:sz w:val="18"/>
        <w:szCs w:val="1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Calibri" w:hAnsi="Calibri" w:eastAsia="宋体" w:cs="Times New Roman"/>
        <w:kern w:val="1"/>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shd w:val="clear" w:color="FFFFFF" w:fill="FFFFFF"/>
      <w:spacing w:before="0" w:after="0"/>
      <w:jc w:val="right"/>
      <w:rPr>
        <w:rFonts w:hint="default" w:ascii="黑体" w:hAnsi="黑体" w:eastAsia="黑体" w:cs="黑体"/>
        <w:bCs/>
        <w:color w:val="000000"/>
        <w:sz w:val="28"/>
        <w:szCs w:val="28"/>
        <w:lang w:val="en"/>
      </w:rPr>
    </w:pPr>
  </w:p>
  <w:p>
    <w:pPr>
      <w:widowControl/>
      <w:shd w:val="clear" w:color="FFFFFF" w:fill="FFFFFF"/>
      <w:spacing w:before="0" w:after="0"/>
      <w:jc w:val="right"/>
      <w:rPr>
        <w:rFonts w:ascii="Times New Roman" w:hAnsi="Times New Roman" w:eastAsia="宋体" w:cs="Times New Roman"/>
        <w:bCs/>
        <w:sz w:val="24"/>
        <w:szCs w:val="24"/>
      </w:rPr>
    </w:pPr>
    <w:r>
      <w:rPr>
        <w:rFonts w:hint="default" w:ascii="Times New Roman" w:hAnsi="Times New Roman" w:eastAsia="黑体" w:cs="Times New Roman"/>
        <w:bCs/>
        <w:color w:val="000000"/>
        <w:sz w:val="24"/>
        <w:szCs w:val="24"/>
        <w:lang w:val="en"/>
      </w:rPr>
      <w:t>DBS43/015-2022</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shd w:val="clear" w:color="FFFFFF" w:fill="FFFFFF"/>
      <w:spacing w:before="0" w:after="0"/>
      <w:jc w:val="right"/>
      <w:rPr>
        <w:rFonts w:hint="default" w:ascii="黑体" w:hAnsi="黑体" w:eastAsia="黑体" w:cs="黑体"/>
        <w:bCs/>
        <w:color w:val="000000"/>
        <w:sz w:val="28"/>
        <w:szCs w:val="28"/>
        <w:lang w:val="en"/>
      </w:rPr>
    </w:pPr>
  </w:p>
  <w:p>
    <w:pPr>
      <w:widowControl/>
      <w:shd w:val="clear" w:color="FFFFFF" w:fill="FFFFFF"/>
      <w:spacing w:before="0" w:after="0"/>
      <w:jc w:val="right"/>
      <w:rPr>
        <w:rFonts w:ascii="Times New Roman" w:hAnsi="Times New Roman" w:eastAsia="宋体" w:cs="Times New Roman"/>
        <w:bCs/>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Times New Roman" w:hAnsi="Times New Roman" w:eastAsia="宋体" w:cs="Times New Roman"/>
        <w:color w:val="000000"/>
        <w:kern w:val="1"/>
        <w:sz w:val="24"/>
        <w:szCs w:val="24"/>
        <w:lang w:bidi="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Times New Roman" w:hAnsi="Times New Roman" w:eastAsia="宋体" w:cs="Times New Roman"/>
        <w:color w:val="000000"/>
        <w:kern w:val="1"/>
        <w:sz w:val="24"/>
        <w:szCs w:val="24"/>
        <w:lang w:bidi="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Times New Roman" w:hAnsi="Times New Roman" w:eastAsia="宋体" w:cs="Times New Roman"/>
        <w:color w:val="000000"/>
        <w:kern w:val="1"/>
        <w:sz w:val="24"/>
        <w:szCs w:val="24"/>
        <w:lang w:bidi="en-US"/>
      </w:rPr>
    </w:pPr>
    <w:r>
      <w:rPr>
        <w:rFonts w:hint="eastAsia" w:ascii="Times New Roman" w:hAnsi="Times New Roman" w:eastAsia="宋体" w:cs="Times New Roman"/>
        <w:color w:val="000000"/>
        <w:kern w:val="1"/>
        <w:sz w:val="24"/>
        <w:szCs w:val="24"/>
        <w:lang w:bidi="en-US"/>
      </w:rPr>
      <w:t>DBS43/013—2022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Times New Roman" w:hAnsi="Times New Roman" w:eastAsia="宋体" w:cs="Times New Roman"/>
        <w:color w:val="000000"/>
        <w:kern w:val="1"/>
        <w:sz w:val="24"/>
        <w:szCs w:val="24"/>
        <w:lang w:bidi="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Times New Roman" w:hAnsi="Times New Roman" w:eastAsia="宋体" w:cs="Times New Roman"/>
        <w:color w:val="000000"/>
        <w:kern w:val="1"/>
        <w:sz w:val="24"/>
        <w:szCs w:val="24"/>
        <w:lang w:bidi="en-US"/>
      </w:rPr>
    </w:pPr>
    <w:r>
      <w:rPr>
        <w:rFonts w:hint="eastAsia" w:ascii="Times New Roman" w:hAnsi="Times New Roman" w:eastAsia="宋体" w:cs="Times New Roman"/>
        <w:color w:val="000000"/>
        <w:kern w:val="1"/>
        <w:sz w:val="24"/>
        <w:szCs w:val="24"/>
        <w:lang w:bidi="en-US"/>
      </w:rPr>
      <w:t>DBS43/014-2022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105"/>
      <w:jc w:val="right"/>
      <w:rPr>
        <w:rFonts w:ascii="Times New Roman" w:hAnsi="Times New Roman" w:eastAsia="宋体" w:cs="Times New Roman"/>
        <w:color w:val="000000"/>
        <w:kern w:val="1"/>
        <w:sz w:val="24"/>
        <w:szCs w:val="24"/>
        <w:lang w:bidi="en-US"/>
      </w:rPr>
    </w:pPr>
    <w:r>
      <w:rPr>
        <w:rFonts w:hint="eastAsia" w:ascii="Times New Roman" w:hAnsi="Times New Roman" w:eastAsia="宋体" w:cs="Times New Roman"/>
        <w:color w:val="000000"/>
        <w:kern w:val="1"/>
        <w:sz w:val="24"/>
        <w:szCs w:val="24"/>
        <w:lang w:bidi="en-US"/>
      </w:rPr>
      <w:t>DBS43/014-2022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ind w:right="8753"/>
      <w:rPr>
        <w:rFonts w:ascii="Times New Roman" w:hAnsi="Times New Roman" w:eastAsia="宋体" w:cs="Times New Roman"/>
        <w:bCs/>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snapToGrid w:val="0"/>
      <w:ind w:right="210"/>
      <w:jc w:val="right"/>
      <w:rPr>
        <w:rFonts w:ascii="黑体" w:hAnsi="黑体" w:eastAsia="黑体" w:cs="Times New Roman"/>
        <w:szCs w:val="21"/>
      </w:rPr>
    </w:pPr>
    <w:r>
      <w:rPr>
        <w:rFonts w:hint="eastAsia" w:ascii="黑体" w:hAnsi="黑体" w:eastAsia="黑体" w:cs="Times New Roman"/>
        <w:szCs w:val="21"/>
      </w:rPr>
      <w:t>DB43/015-2022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1871A0"/>
    <w:multiLevelType w:val="multilevel"/>
    <w:tmpl w:val="031871A0"/>
    <w:lvl w:ilvl="0" w:tentative="0">
      <w:start w:val="1"/>
      <w:numFmt w:val="none"/>
      <w:suff w:val="nothing"/>
      <w:lvlText w:val="%1"/>
      <w:lvlJc w:val="left"/>
      <w:pPr>
        <w:ind w:left="0" w:firstLine="0"/>
      </w:pPr>
      <w:rPr>
        <w:rFonts w:hint="default" w:ascii="Times New Roman" w:hAnsi="Times New Roman" w:cs="Times New Roman"/>
        <w:b/>
        <w:bCs/>
        <w:i w:val="0"/>
        <w:iCs w:val="0"/>
        <w:sz w:val="21"/>
        <w:szCs w:val="21"/>
      </w:rPr>
    </w:lvl>
    <w:lvl w:ilvl="1" w:tentative="0">
      <w:start w:val="1"/>
      <w:numFmt w:val="decimal"/>
      <w:suff w:val="nothing"/>
      <w:lvlText w:val="%1%2　"/>
      <w:lvlJc w:val="left"/>
      <w:pPr>
        <w:ind w:left="0" w:firstLine="0"/>
      </w:pPr>
      <w:rPr>
        <w:rFonts w:hint="eastAsia" w:ascii="黑体" w:hAnsi="Times New Roman" w:eastAsia="黑体" w:cs="Times New Roman"/>
        <w:b w:val="0"/>
        <w:bCs w:val="0"/>
        <w:i w:val="0"/>
        <w:iCs w:val="0"/>
        <w:sz w:val="21"/>
        <w:szCs w:val="21"/>
      </w:rPr>
    </w:lvl>
    <w:lvl w:ilvl="2" w:tentative="0">
      <w:start w:val="1"/>
      <w:numFmt w:val="decimal"/>
      <w:suff w:val="nothing"/>
      <w:lvlText w:val="%1%2.%3　"/>
      <w:lvlJc w:val="left"/>
      <w:pPr>
        <w:ind w:left="420" w:firstLine="0"/>
      </w:pPr>
      <w:rPr>
        <w:rFonts w:hint="eastAsia" w:ascii="黑体" w:hAnsi="Times New Roman" w:eastAsia="黑体" w:cs="Times New Roman"/>
        <w:b w:val="0"/>
        <w:bCs w:val="0"/>
        <w:i w:val="0"/>
        <w:iCs w:val="0"/>
        <w:sz w:val="21"/>
        <w:szCs w:val="21"/>
      </w:rPr>
    </w:lvl>
    <w:lvl w:ilvl="3" w:tentative="0">
      <w:start w:val="1"/>
      <w:numFmt w:val="decimal"/>
      <w:suff w:val="nothing"/>
      <w:lvlText w:val="%1%2.%3.%4　"/>
      <w:lvlJc w:val="left"/>
      <w:pPr>
        <w:ind w:left="0" w:firstLine="0"/>
      </w:pPr>
      <w:rPr>
        <w:rFonts w:hint="eastAsia" w:ascii="宋体" w:hAnsi="宋体" w:eastAsia="宋体" w:cs="Times New Roman"/>
        <w:b w:val="0"/>
        <w:bCs w:val="0"/>
        <w:i w:val="0"/>
        <w:iCs w:val="0"/>
        <w:caps w:val="0"/>
        <w:smallCaps w:val="0"/>
        <w:spacing w:val="0"/>
        <w:sz w:val="21"/>
        <w:szCs w:val="21"/>
      </w:rPr>
    </w:lvl>
    <w:lvl w:ilvl="4" w:tentative="0">
      <w:start w:val="1"/>
      <w:numFmt w:val="decimal"/>
      <w:suff w:val="nothing"/>
      <w:lvlText w:val="%1%2.%3.%4.%5　"/>
      <w:lvlJc w:val="left"/>
      <w:pPr>
        <w:ind w:left="0" w:firstLine="0"/>
      </w:pPr>
      <w:rPr>
        <w:rFonts w:hint="eastAsia" w:ascii="黑体" w:hAnsi="Times New Roman" w:eastAsia="黑体" w:cs="Times New Roman"/>
        <w:b w:val="0"/>
        <w:bCs w:val="0"/>
        <w:i w:val="0"/>
        <w:iCs w:val="0"/>
        <w:sz w:val="21"/>
        <w:szCs w:val="21"/>
      </w:rPr>
    </w:lvl>
    <w:lvl w:ilvl="5" w:tentative="0">
      <w:start w:val="1"/>
      <w:numFmt w:val="decimal"/>
      <w:suff w:val="nothing"/>
      <w:lvlText w:val="%1%2.%3.%4.%5.%6　"/>
      <w:lvlJc w:val="left"/>
      <w:pPr>
        <w:ind w:left="0" w:firstLine="0"/>
      </w:pPr>
      <w:rPr>
        <w:rFonts w:hint="eastAsia" w:ascii="黑体" w:hAnsi="Times New Roman" w:eastAsia="黑体" w:cs="Times New Roman"/>
        <w:b w:val="0"/>
        <w:bCs w:val="0"/>
        <w:i w:val="0"/>
        <w:iCs w:val="0"/>
        <w:sz w:val="21"/>
        <w:szCs w:val="21"/>
      </w:rPr>
    </w:lvl>
    <w:lvl w:ilvl="6" w:tentative="0">
      <w:start w:val="1"/>
      <w:numFmt w:val="decimal"/>
      <w:suff w:val="nothing"/>
      <w:lvlText w:val="%1%2.%3.%4.%5.%6.%7　"/>
      <w:lvlJc w:val="left"/>
      <w:pPr>
        <w:ind w:left="0" w:firstLine="0"/>
      </w:pPr>
      <w:rPr>
        <w:rFonts w:hint="eastAsia" w:ascii="黑体" w:hAnsi="Times New Roman" w:eastAsia="黑体" w:cs="Times New Roman"/>
        <w:b w:val="0"/>
        <w:bCs w:val="0"/>
        <w:i w:val="0"/>
        <w:iCs w:val="0"/>
        <w:sz w:val="21"/>
        <w:szCs w:val="21"/>
      </w:rPr>
    </w:lvl>
    <w:lvl w:ilvl="7" w:tentative="0">
      <w:start w:val="1"/>
      <w:numFmt w:val="decimal"/>
      <w:lvlText w:val="%1.%2.%3.%4.%5.%6.%7.%8"/>
      <w:lvlJc w:val="left"/>
      <w:pPr>
        <w:tabs>
          <w:tab w:val="left" w:pos="4351"/>
        </w:tabs>
        <w:ind w:left="3969" w:hanging="1418"/>
      </w:pPr>
      <w:rPr>
        <w:rFonts w:hint="eastAsia" w:ascii="宋体" w:hAnsi="宋体" w:eastAsia="宋体" w:cs="Times New Roman"/>
      </w:rPr>
    </w:lvl>
    <w:lvl w:ilvl="8" w:tentative="0">
      <w:start w:val="1"/>
      <w:numFmt w:val="decimal"/>
      <w:lvlText w:val="%1.%2.%3.%4.%5.%6.%7.%8.%9"/>
      <w:lvlJc w:val="left"/>
      <w:pPr>
        <w:tabs>
          <w:tab w:val="left" w:pos="4777"/>
        </w:tabs>
        <w:ind w:left="4677" w:hanging="1700"/>
      </w:pPr>
      <w:rPr>
        <w:rFonts w:hint="eastAsia" w:ascii="宋体" w:hAnsi="宋体" w:eastAsia="宋体" w:cs="Times New Roman"/>
      </w:rPr>
    </w:lvl>
  </w:abstractNum>
  <w:abstractNum w:abstractNumId="1">
    <w:nsid w:val="1FC91163"/>
    <w:multiLevelType w:val="multilevel"/>
    <w:tmpl w:val="1FC91163"/>
    <w:lvl w:ilvl="0" w:tentative="0">
      <w:start w:val="1"/>
      <w:numFmt w:val="decimal"/>
      <w:pStyle w:val="12"/>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18"/>
      <w:suff w:val="nothing"/>
      <w:lvlText w:val="%1.%2　"/>
      <w:lvlJc w:val="left"/>
      <w:pPr>
        <w:ind w:left="0" w:firstLine="0"/>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0">
      <w:start w:val="1"/>
      <w:numFmt w:val="decimal"/>
      <w:pStyle w:val="17"/>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3F49E1DE"/>
    <w:multiLevelType w:val="singleLevel"/>
    <w:tmpl w:val="3F49E1DE"/>
    <w:lvl w:ilvl="0" w:tentative="0">
      <w:start w:val="3"/>
      <w:numFmt w:val="decimal"/>
      <w:lvlText w:val="%1."/>
      <w:lvlJc w:val="left"/>
      <w:pPr>
        <w:tabs>
          <w:tab w:val="left" w:pos="312"/>
        </w:tabs>
      </w:pPr>
    </w:lvl>
  </w:abstractNum>
  <w:abstractNum w:abstractNumId="3">
    <w:nsid w:val="646260FA"/>
    <w:multiLevelType w:val="multilevel"/>
    <w:tmpl w:val="646260FA"/>
    <w:lvl w:ilvl="0" w:tentative="0">
      <w:start w:val="1"/>
      <w:numFmt w:val="decimal"/>
      <w:pStyle w:val="20"/>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1"/>
  </w:num>
  <w:num w:numId="2">
    <w:abstractNumId w:val="3"/>
  </w:num>
  <w:num w:numId="3">
    <w:abstractNumId w:val="2"/>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oNotDisplayPageBoundaries w:val="1"/>
  <w:embedTrueTypeFonts/>
  <w:saveSubsetFonts/>
  <w:bordersDoNotSurroundHeader w:val="1"/>
  <w:bordersDoNotSurroundFooter w:val="1"/>
  <w:trackRevisions w:val="1"/>
  <w:documentProtection w:enforcement="0"/>
  <w:defaultTabStop w:val="420"/>
  <w:drawingGridHorizontalSpacing w:val="210"/>
  <w:drawingGridVerticalSpacing w:val="290"/>
  <w:displayHorizontalDrawingGridEvery w:val="1"/>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VlZWFiZjk5Y2QwNzYyMDBkOGRmYzM5NDE3NmE3ZDYifQ=="/>
  </w:docVars>
  <w:rsids>
    <w:rsidRoot w:val="00111021"/>
    <w:rsid w:val="000859DB"/>
    <w:rsid w:val="000E675F"/>
    <w:rsid w:val="00111021"/>
    <w:rsid w:val="001D6EAA"/>
    <w:rsid w:val="002B0D2A"/>
    <w:rsid w:val="002F4DA2"/>
    <w:rsid w:val="004025D7"/>
    <w:rsid w:val="004459AE"/>
    <w:rsid w:val="004E38BD"/>
    <w:rsid w:val="00535B45"/>
    <w:rsid w:val="00623E4C"/>
    <w:rsid w:val="00756E11"/>
    <w:rsid w:val="0078378A"/>
    <w:rsid w:val="008111F5"/>
    <w:rsid w:val="00A05C10"/>
    <w:rsid w:val="00A45292"/>
    <w:rsid w:val="00A751BB"/>
    <w:rsid w:val="00B0084F"/>
    <w:rsid w:val="00BC0BCD"/>
    <w:rsid w:val="00C64A36"/>
    <w:rsid w:val="00D10945"/>
    <w:rsid w:val="00DE22CF"/>
    <w:rsid w:val="00EF36B4"/>
    <w:rsid w:val="00F205D8"/>
    <w:rsid w:val="08285910"/>
    <w:rsid w:val="1FDF9CAB"/>
    <w:rsid w:val="3CAF5C77"/>
    <w:rsid w:val="3CBE610F"/>
    <w:rsid w:val="56EBEABE"/>
    <w:rsid w:val="5AC519F2"/>
    <w:rsid w:val="69496743"/>
    <w:rsid w:val="737FA127"/>
    <w:rsid w:val="741C69DA"/>
    <w:rsid w:val="76A4571E"/>
    <w:rsid w:val="78611415"/>
    <w:rsid w:val="7A378260"/>
    <w:rsid w:val="7BFF51AB"/>
    <w:rsid w:val="7DEF02C1"/>
    <w:rsid w:val="7EFF1799"/>
    <w:rsid w:val="9DEE126F"/>
    <w:rsid w:val="B5FFD873"/>
    <w:rsid w:val="BDFBDCA7"/>
    <w:rsid w:val="BF53DF69"/>
    <w:rsid w:val="BF9FC613"/>
    <w:rsid w:val="C5AD2359"/>
    <w:rsid w:val="DF8FD338"/>
    <w:rsid w:val="E9B7C3A7"/>
    <w:rsid w:val="F4D35821"/>
    <w:rsid w:val="F5FABABE"/>
    <w:rsid w:val="FDDF8DF2"/>
    <w:rsid w:val="FDFF060D"/>
    <w:rsid w:val="FF7FA31B"/>
    <w:rsid w:val="FFDF3A25"/>
    <w:rsid w:val="FFFB14A1"/>
    <w:rsid w:val="FFFEF7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next w:val="1"/>
    <w:qFormat/>
    <w:uiPriority w:val="9"/>
    <w:pPr>
      <w:spacing w:before="100" w:beforeAutospacing="1" w:after="100" w:afterAutospacing="1"/>
      <w:outlineLvl w:val="0"/>
    </w:pPr>
    <w:rPr>
      <w:rFonts w:ascii="宋体" w:hAnsi="宋体" w:eastAsia="宋体" w:cs="宋体"/>
      <w:b/>
      <w:bCs/>
      <w:kern w:val="36"/>
      <w:sz w:val="48"/>
      <w:szCs w:val="48"/>
      <w:lang w:val="en-US" w:eastAsia="zh-CN" w:bidi="ar-SA"/>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footer"/>
    <w:basedOn w:val="1"/>
    <w:next w:val="1"/>
    <w:link w:val="15"/>
    <w:unhideWhenUsed/>
    <w:qFormat/>
    <w:uiPriority w:val="99"/>
    <w:pPr>
      <w:tabs>
        <w:tab w:val="center" w:pos="4153"/>
        <w:tab w:val="right" w:pos="8306"/>
      </w:tabs>
      <w:snapToGrid w:val="0"/>
      <w:jc w:val="left"/>
    </w:pPr>
    <w:rPr>
      <w:sz w:val="18"/>
      <w:szCs w:val="18"/>
    </w:rPr>
  </w:style>
  <w:style w:type="paragraph" w:styleId="4">
    <w:name w:val="annotation text"/>
    <w:unhideWhenUsed/>
    <w:qFormat/>
    <w:uiPriority w:val="99"/>
    <w:pPr>
      <w:widowControl w:val="0"/>
    </w:pPr>
    <w:rPr>
      <w:rFonts w:ascii="Calibri" w:hAnsi="Calibri" w:eastAsia="宋体" w:cs="Times New Roman"/>
      <w:kern w:val="2"/>
      <w:sz w:val="21"/>
      <w:szCs w:val="22"/>
      <w:lang w:val="en-US" w:eastAsia="zh-CN" w:bidi="ar-SA"/>
    </w:rPr>
  </w:style>
  <w:style w:type="paragraph" w:styleId="5">
    <w:name w:val="Body Text"/>
    <w:qFormat/>
    <w:uiPriority w:val="1"/>
    <w:pPr>
      <w:widowControl w:val="0"/>
      <w:autoSpaceDE w:val="0"/>
      <w:autoSpaceDN w:val="0"/>
    </w:pPr>
    <w:rPr>
      <w:rFonts w:ascii="宋体" w:hAnsi="宋体" w:eastAsia="宋体" w:cs="宋体"/>
      <w:sz w:val="21"/>
      <w:szCs w:val="21"/>
      <w:lang w:val="en-US" w:eastAsia="en-US" w:bidi="ar-SA"/>
    </w:rPr>
  </w:style>
  <w:style w:type="paragraph" w:styleId="6">
    <w:name w:val="Plain Text"/>
    <w:qFormat/>
    <w:uiPriority w:val="0"/>
    <w:pPr>
      <w:widowControl w:val="0"/>
      <w:jc w:val="both"/>
    </w:pPr>
    <w:rPr>
      <w:rFonts w:ascii="宋体" w:hAnsi="Courier New" w:eastAsia="宋体" w:cs="Times New Roman"/>
      <w:kern w:val="2"/>
      <w:sz w:val="21"/>
      <w:szCs w:val="21"/>
      <w:lang w:val="en-US" w:eastAsia="zh-CN" w:bidi="ar-SA"/>
    </w:rPr>
  </w:style>
  <w:style w:type="paragraph" w:styleId="7">
    <w:name w:val="Balloon Text"/>
    <w:basedOn w:val="1"/>
    <w:link w:val="19"/>
    <w:semiHidden/>
    <w:unhideWhenUsed/>
    <w:qFormat/>
    <w:uiPriority w:val="99"/>
    <w:rPr>
      <w:sz w:val="18"/>
      <w:szCs w:val="18"/>
    </w:rPr>
  </w:style>
  <w:style w:type="paragraph" w:styleId="8">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styleId="11">
    <w:name w:val="annotation reference"/>
    <w:semiHidden/>
    <w:qFormat/>
    <w:uiPriority w:val="0"/>
    <w:rPr>
      <w:sz w:val="21"/>
      <w:szCs w:val="21"/>
    </w:rPr>
  </w:style>
  <w:style w:type="paragraph" w:customStyle="1" w:styleId="12">
    <w:name w:val="章标题"/>
    <w:next w:val="13"/>
    <w:qFormat/>
    <w:uiPriority w:val="0"/>
    <w:pPr>
      <w:numPr>
        <w:ilvl w:val="0"/>
        <w:numId w:val="1"/>
      </w:numPr>
      <w:spacing w:before="312" w:beforeLines="100" w:after="312" w:afterLines="100"/>
      <w:jc w:val="both"/>
      <w:outlineLvl w:val="1"/>
    </w:pPr>
    <w:rPr>
      <w:rFonts w:ascii="黑体" w:hAnsi="Calibri" w:eastAsia="黑体" w:cs="Times New Roman"/>
      <w:sz w:val="21"/>
      <w:lang w:val="en-US" w:eastAsia="zh-CN" w:bidi="ar-SA"/>
    </w:rPr>
  </w:style>
  <w:style w:type="paragraph" w:customStyle="1" w:styleId="13">
    <w:name w:val="段"/>
    <w:qFormat/>
    <w:uiPriority w:val="0"/>
    <w:pPr>
      <w:autoSpaceDE w:val="0"/>
      <w:autoSpaceDN w:val="0"/>
      <w:ind w:firstLine="200" w:firstLineChars="200"/>
      <w:jc w:val="both"/>
    </w:pPr>
    <w:rPr>
      <w:rFonts w:ascii="宋体" w:hAnsi="Calibri" w:eastAsia="等线" w:cs="Times New Roman"/>
      <w:sz w:val="21"/>
      <w:lang w:val="en-US" w:eastAsia="zh-CN" w:bidi="ar-SA"/>
    </w:rPr>
  </w:style>
  <w:style w:type="character" w:customStyle="1" w:styleId="14">
    <w:name w:val="页眉 Char"/>
    <w:basedOn w:val="10"/>
    <w:link w:val="8"/>
    <w:qFormat/>
    <w:uiPriority w:val="99"/>
    <w:rPr>
      <w:sz w:val="18"/>
      <w:szCs w:val="18"/>
    </w:rPr>
  </w:style>
  <w:style w:type="character" w:customStyle="1" w:styleId="15">
    <w:name w:val="页脚 Char"/>
    <w:basedOn w:val="10"/>
    <w:link w:val="2"/>
    <w:qFormat/>
    <w:uiPriority w:val="99"/>
    <w:rPr>
      <w:sz w:val="18"/>
      <w:szCs w:val="18"/>
    </w:rPr>
  </w:style>
  <w:style w:type="paragraph" w:customStyle="1" w:styleId="16">
    <w:name w:val="二级无"/>
    <w:qFormat/>
    <w:uiPriority w:val="0"/>
    <w:pPr>
      <w:tabs>
        <w:tab w:val="left" w:pos="360"/>
      </w:tabs>
      <w:outlineLvl w:val="3"/>
    </w:pPr>
    <w:rPr>
      <w:rFonts w:ascii="宋体" w:hAnsi="Calibri" w:eastAsia="宋体" w:cs="Times New Roman"/>
      <w:sz w:val="21"/>
      <w:szCs w:val="21"/>
      <w:lang w:val="en-US" w:eastAsia="zh-CN" w:bidi="ar-SA"/>
    </w:rPr>
  </w:style>
  <w:style w:type="paragraph" w:customStyle="1" w:styleId="17">
    <w:name w:val="二级条标题"/>
    <w:next w:val="13"/>
    <w:qFormat/>
    <w:uiPriority w:val="0"/>
    <w:pPr>
      <w:numPr>
        <w:ilvl w:val="2"/>
        <w:numId w:val="1"/>
      </w:numPr>
      <w:tabs>
        <w:tab w:val="left" w:pos="360"/>
      </w:tabs>
      <w:spacing w:before="50" w:beforeLines="50" w:after="50" w:afterLines="50"/>
      <w:outlineLvl w:val="3"/>
    </w:pPr>
    <w:rPr>
      <w:rFonts w:ascii="黑体" w:hAnsi="Calibri" w:eastAsia="黑体" w:cs="Times New Roman"/>
      <w:sz w:val="21"/>
      <w:szCs w:val="21"/>
      <w:lang w:val="en-US" w:eastAsia="zh-CN" w:bidi="ar-SA"/>
    </w:rPr>
  </w:style>
  <w:style w:type="paragraph" w:customStyle="1" w:styleId="18">
    <w:name w:val="一级条标题"/>
    <w:next w:val="13"/>
    <w:qFormat/>
    <w:uiPriority w:val="0"/>
    <w:pPr>
      <w:numPr>
        <w:ilvl w:val="1"/>
        <w:numId w:val="1"/>
      </w:numPr>
      <w:spacing w:before="156" w:beforeLines="50" w:after="156" w:afterLines="50"/>
      <w:outlineLvl w:val="2"/>
    </w:pPr>
    <w:rPr>
      <w:rFonts w:ascii="黑体" w:hAnsi="Calibri" w:eastAsia="黑体" w:cs="Times New Roman"/>
      <w:sz w:val="21"/>
      <w:szCs w:val="21"/>
      <w:lang w:val="en-US" w:eastAsia="zh-CN" w:bidi="ar-SA"/>
    </w:rPr>
  </w:style>
  <w:style w:type="character" w:customStyle="1" w:styleId="19">
    <w:name w:val="批注框文本 Char"/>
    <w:basedOn w:val="10"/>
    <w:link w:val="7"/>
    <w:semiHidden/>
    <w:qFormat/>
    <w:uiPriority w:val="99"/>
    <w:rPr>
      <w:kern w:val="2"/>
      <w:sz w:val="18"/>
      <w:szCs w:val="18"/>
    </w:rPr>
  </w:style>
  <w:style w:type="paragraph" w:customStyle="1" w:styleId="20">
    <w:name w:val="正文表标题"/>
    <w:next w:val="13"/>
    <w:qFormat/>
    <w:uiPriority w:val="0"/>
    <w:pPr>
      <w:numPr>
        <w:ilvl w:val="0"/>
        <w:numId w:val="2"/>
      </w:numPr>
      <w:tabs>
        <w:tab w:val="left" w:pos="360"/>
      </w:tabs>
      <w:spacing w:before="156" w:beforeLines="50" w:after="156" w:afterLines="50"/>
      <w:jc w:val="center"/>
    </w:pPr>
    <w:rPr>
      <w:rFonts w:ascii="黑体" w:hAnsi="Times New Roman" w:eastAsia="黑体" w:cs="Times New Roman"/>
      <w:sz w:val="21"/>
      <w:lang w:val="en-US" w:eastAsia="zh-CN" w:bidi="ar-SA"/>
    </w:rPr>
  </w:style>
  <w:style w:type="paragraph" w:customStyle="1" w:styleId="21">
    <w:name w:val="标准书脚_奇数页"/>
    <w:qFormat/>
    <w:uiPriority w:val="0"/>
    <w:pPr>
      <w:spacing w:before="120"/>
      <w:ind w:right="198"/>
      <w:jc w:val="right"/>
    </w:pPr>
    <w:rPr>
      <w:rFonts w:ascii="宋体" w:hAnsi="Times New Roman" w:eastAsia="宋体" w:cs="Times New Roman"/>
      <w:sz w:val="18"/>
      <w:szCs w:val="18"/>
      <w:lang w:val="en-US" w:eastAsia="zh-CN" w:bidi="ar-SA"/>
    </w:rPr>
  </w:style>
  <w:style w:type="paragraph" w:styleId="22">
    <w:name w:val="No Spacing"/>
    <w:link w:val="23"/>
    <w:qFormat/>
    <w:uiPriority w:val="1"/>
    <w:rPr>
      <w:rFonts w:asciiTheme="minorHAnsi" w:hAnsiTheme="minorHAnsi" w:eastAsiaTheme="minorEastAsia" w:cstheme="minorBidi"/>
      <w:sz w:val="22"/>
      <w:szCs w:val="22"/>
      <w:lang w:val="en-US" w:eastAsia="zh-CN" w:bidi="ar-SA"/>
    </w:rPr>
  </w:style>
  <w:style w:type="character" w:customStyle="1" w:styleId="23">
    <w:name w:val="无间隔 Char"/>
    <w:basedOn w:val="10"/>
    <w:link w:val="22"/>
    <w:qFormat/>
    <w:uiPriority w:val="1"/>
    <w:rPr>
      <w:sz w:val="22"/>
      <w:szCs w:val="22"/>
    </w:rPr>
  </w:style>
  <w:style w:type="paragraph" w:customStyle="1" w:styleId="24">
    <w:name w:val="封面标准名称"/>
    <w:qFormat/>
    <w:uiPriority w:val="0"/>
    <w:pPr>
      <w:widowControl w:val="0"/>
      <w:spacing w:line="680" w:lineRule="exact"/>
      <w:jc w:val="center"/>
    </w:pPr>
    <w:rPr>
      <w:rFonts w:ascii="黑体" w:hAnsi="黑体" w:eastAsia="黑体" w:cs="黑体"/>
      <w:color w:val="000000"/>
      <w:sz w:val="52"/>
      <w:lang w:val="en-US" w:eastAsia="zh-CN" w:bidi="ar-SA"/>
    </w:rPr>
  </w:style>
  <w:style w:type="paragraph" w:customStyle="1" w:styleId="25">
    <w:name w:val="标题 11"/>
    <w:qFormat/>
    <w:uiPriority w:val="1"/>
    <w:pPr>
      <w:widowControl w:val="0"/>
      <w:autoSpaceDE w:val="0"/>
      <w:autoSpaceDN w:val="0"/>
      <w:spacing w:before="56"/>
      <w:ind w:right="33"/>
      <w:jc w:val="center"/>
      <w:outlineLvl w:val="1"/>
    </w:pPr>
    <w:rPr>
      <w:rFonts w:ascii="黑体" w:hAnsi="黑体" w:eastAsia="黑体" w:cs="黑体"/>
      <w:sz w:val="32"/>
      <w:szCs w:val="32"/>
      <w:lang w:val="en-US" w:eastAsia="en-US" w:bidi="ar-SA"/>
    </w:rPr>
  </w:style>
  <w:style w:type="paragraph" w:styleId="26">
    <w:name w:val="List Paragraph"/>
    <w:qFormat/>
    <w:uiPriority w:val="1"/>
    <w:pPr>
      <w:widowControl w:val="0"/>
      <w:autoSpaceDE w:val="0"/>
      <w:autoSpaceDN w:val="0"/>
      <w:ind w:left="1132" w:hanging="736"/>
    </w:pPr>
    <w:rPr>
      <w:rFonts w:ascii="宋体" w:hAnsi="宋体" w:eastAsia="宋体" w:cs="宋体"/>
      <w:sz w:val="22"/>
      <w:szCs w:val="24"/>
      <w:lang w:val="en-US" w:eastAsia="en-US" w:bidi="ar-SA"/>
    </w:rPr>
  </w:style>
  <w:style w:type="paragraph" w:customStyle="1" w:styleId="27">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3.png"/><Relationship Id="rId28" Type="http://schemas.openxmlformats.org/officeDocument/2006/relationships/image" Target="media/image2.png"/><Relationship Id="rId27" Type="http://schemas.openxmlformats.org/officeDocument/2006/relationships/image" Target="media/image1.png"/><Relationship Id="rId26" Type="http://schemas.openxmlformats.org/officeDocument/2006/relationships/theme" Target="theme/theme1.xml"/><Relationship Id="rId25" Type="http://schemas.openxmlformats.org/officeDocument/2006/relationships/footer" Target="footer12.xml"/><Relationship Id="rId24" Type="http://schemas.openxmlformats.org/officeDocument/2006/relationships/header" Target="header11.xml"/><Relationship Id="rId23" Type="http://schemas.openxmlformats.org/officeDocument/2006/relationships/footer" Target="footer11.xml"/><Relationship Id="rId22" Type="http://schemas.openxmlformats.org/officeDocument/2006/relationships/header" Target="header10.xml"/><Relationship Id="rId21" Type="http://schemas.openxmlformats.org/officeDocument/2006/relationships/footer" Target="foot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Pages>
  <Words>4338</Words>
  <Characters>24730</Characters>
  <Lines>206</Lines>
  <Paragraphs>58</Paragraphs>
  <TotalTime>4</TotalTime>
  <ScaleCrop>false</ScaleCrop>
  <LinksUpToDate>false</LinksUpToDate>
  <CharactersWithSpaces>29010</CharactersWithSpaces>
  <Application>WPS Office_4.4.1.7360_F1E327BC-269C-435d-A152-05C5408002CA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2022-08-03T09:53:00Z</dcterms:created>
  <dc:creator>食品安全标准与监测处</dc:creator>
  <cp:lastModifiedBy>年</cp:lastModifiedBy>
  <cp:lastPrinted>2022-12-15T19:23:00Z</cp:lastPrinted>
  <dcterms:modified xsi:type="dcterms:W3CDTF">2022-12-19T15:14:55Z</dcterms:modified>
  <dc:title>湖南省卫生健康委员会</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2052-4.4.1.7360</vt:lpwstr>
  </property>
  <property fmtid="{D5CDD505-2E9C-101B-9397-08002B2CF9AE}" pid="3" name="ICV">
    <vt:lpwstr>886802ED5643469CABFB1A27FB6480C8</vt:lpwstr>
  </property>
</Properties>
</file>