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Cs/>
          <w:color w:val="auto"/>
          <w:w w:val="90"/>
          <w:sz w:val="44"/>
          <w:szCs w:val="44"/>
        </w:rPr>
      </w:pPr>
      <w:r>
        <w:rPr>
          <w:rFonts w:hint="eastAsia" w:ascii="方正小标宋简体" w:eastAsia="方正小标宋简体"/>
          <w:color w:val="auto"/>
          <w:w w:val="90"/>
          <w:sz w:val="44"/>
          <w:szCs w:val="44"/>
        </w:rPr>
        <w:t>湖南省卫生健康委202</w:t>
      </w:r>
      <w:r>
        <w:rPr>
          <w:rFonts w:hint="eastAsia" w:ascii="方正小标宋简体" w:eastAsia="方正小标宋简体"/>
          <w:color w:val="auto"/>
          <w:w w:val="90"/>
          <w:sz w:val="44"/>
          <w:szCs w:val="44"/>
          <w:lang w:val="en-US" w:eastAsia="zh-CN"/>
        </w:rPr>
        <w:t>2</w:t>
      </w:r>
      <w:r>
        <w:rPr>
          <w:rFonts w:hint="eastAsia" w:ascii="方正小标宋简体" w:eastAsia="方正小标宋简体"/>
          <w:color w:val="auto"/>
          <w:w w:val="90"/>
          <w:sz w:val="44"/>
          <w:szCs w:val="44"/>
        </w:rPr>
        <w:t>年政府信息公开工作报告</w:t>
      </w:r>
    </w:p>
    <w:p>
      <w:pPr>
        <w:rPr>
          <w:color w:val="auto"/>
        </w:rPr>
      </w:pPr>
    </w:p>
    <w:p>
      <w:pPr>
        <w:spacing w:line="578" w:lineRule="exact"/>
        <w:ind w:firstLine="640" w:firstLineChars="200"/>
        <w:rPr>
          <w:rFonts w:ascii="仿宋_GB2312" w:eastAsia="仿宋_GB2312"/>
          <w:b/>
          <w:color w:val="auto"/>
          <w:sz w:val="32"/>
          <w:szCs w:val="32"/>
        </w:rPr>
      </w:pPr>
      <w:r>
        <w:rPr>
          <w:rFonts w:hint="eastAsia" w:ascii="黑体" w:hAnsi="黑体" w:eastAsia="黑体" w:cs="黑体"/>
          <w:bCs/>
          <w:color w:val="auto"/>
          <w:sz w:val="32"/>
          <w:szCs w:val="32"/>
        </w:rPr>
        <w:t>一、总体情况</w:t>
      </w:r>
    </w:p>
    <w:p>
      <w:pPr>
        <w:spacing w:line="578" w:lineRule="exact"/>
        <w:ind w:firstLine="640" w:firstLineChars="200"/>
        <w:rPr>
          <w:rFonts w:ascii="Times New Roman" w:hAnsi="Times New Roman" w:eastAsia="仿宋_GB2312"/>
          <w:b/>
          <w:bCs/>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省卫生健康委坚持以习近平新时代中国特色社会主义思想为指导，</w:t>
      </w:r>
      <w:r>
        <w:rPr>
          <w:rFonts w:ascii="Times New Roman" w:hAnsi="Times New Roman" w:eastAsia="仿宋_GB2312"/>
          <w:color w:val="auto"/>
          <w:sz w:val="32"/>
          <w:szCs w:val="32"/>
        </w:rPr>
        <w:t>在省委、省政府</w:t>
      </w:r>
      <w:r>
        <w:rPr>
          <w:rFonts w:hint="eastAsia" w:ascii="Times New Roman" w:hAnsi="Times New Roman" w:eastAsia="仿宋_GB2312"/>
          <w:color w:val="auto"/>
          <w:sz w:val="32"/>
          <w:szCs w:val="32"/>
          <w:lang w:val="en-US" w:eastAsia="zh-CN"/>
        </w:rPr>
        <w:t>的</w:t>
      </w:r>
      <w:r>
        <w:rPr>
          <w:rFonts w:ascii="Times New Roman" w:hAnsi="Times New Roman" w:eastAsia="仿宋_GB2312"/>
          <w:color w:val="auto"/>
          <w:sz w:val="32"/>
          <w:szCs w:val="32"/>
        </w:rPr>
        <w:t>坚强领导下，</w:t>
      </w:r>
      <w:r>
        <w:rPr>
          <w:rFonts w:hint="eastAsia" w:ascii="Times New Roman" w:hAnsi="Times New Roman" w:eastAsia="仿宋_GB2312"/>
          <w:color w:val="auto"/>
          <w:sz w:val="32"/>
          <w:szCs w:val="32"/>
          <w:lang w:val="en-US" w:eastAsia="zh-CN"/>
        </w:rPr>
        <w:t>以</w:t>
      </w:r>
      <w:bookmarkStart w:id="0" w:name="_GoBack"/>
      <w:bookmarkEnd w:id="0"/>
      <w:r>
        <w:rPr>
          <w:rFonts w:hint="eastAsia" w:ascii="Times New Roman" w:hAnsi="Times New Roman" w:eastAsia="仿宋_GB2312"/>
          <w:color w:val="auto"/>
          <w:sz w:val="32"/>
          <w:szCs w:val="32"/>
          <w:lang w:val="en-US" w:eastAsia="zh-CN"/>
        </w:rPr>
        <w:t>学习宣传贯彻党的二十大精神为主线，</w:t>
      </w:r>
      <w:r>
        <w:rPr>
          <w:rFonts w:ascii="Times New Roman" w:hAnsi="Times New Roman" w:eastAsia="仿宋_GB2312"/>
          <w:color w:val="auto"/>
          <w:sz w:val="32"/>
          <w:szCs w:val="32"/>
        </w:rPr>
        <w:t>认真贯彻《中华人民共和国政府信息公开条例》《湖南省行政程序规定》等法律法规，</w:t>
      </w:r>
      <w:r>
        <w:rPr>
          <w:rFonts w:hint="eastAsia" w:ascii="Times New Roman" w:hAnsi="Times New Roman" w:eastAsia="仿宋_GB2312"/>
          <w:color w:val="auto"/>
          <w:sz w:val="32"/>
          <w:szCs w:val="32"/>
        </w:rPr>
        <w:t>围绕</w:t>
      </w:r>
      <w:r>
        <w:rPr>
          <w:rFonts w:ascii="Times New Roman" w:hAnsi="Times New Roman" w:eastAsia="仿宋_GB2312"/>
          <w:color w:val="auto"/>
          <w:sz w:val="32"/>
          <w:szCs w:val="32"/>
        </w:rPr>
        <w:t>公开透明、方便群众、提高效率</w:t>
      </w:r>
      <w:r>
        <w:rPr>
          <w:rFonts w:hint="eastAsia" w:ascii="Times New Roman" w:hAnsi="Times New Roman" w:eastAsia="仿宋_GB2312"/>
          <w:color w:val="auto"/>
          <w:sz w:val="32"/>
          <w:szCs w:val="32"/>
        </w:rPr>
        <w:t>的</w:t>
      </w:r>
      <w:r>
        <w:rPr>
          <w:rFonts w:ascii="Times New Roman" w:hAnsi="Times New Roman" w:eastAsia="仿宋_GB2312"/>
          <w:color w:val="auto"/>
          <w:sz w:val="32"/>
          <w:szCs w:val="32"/>
        </w:rPr>
        <w:t>目标，紧密结合卫生健康工作实际，加强组织领导，丰富信息公开内容，加快网络平台建设，全方位推进政府信息公开</w:t>
      </w:r>
      <w:r>
        <w:rPr>
          <w:rFonts w:hint="eastAsia" w:ascii="Times New Roman" w:hAnsi="Times New Roman" w:eastAsia="仿宋_GB2312"/>
          <w:color w:val="auto"/>
          <w:sz w:val="32"/>
          <w:szCs w:val="32"/>
          <w:lang w:eastAsia="zh-CN"/>
        </w:rPr>
        <w:t>工作</w:t>
      </w:r>
      <w:r>
        <w:rPr>
          <w:rFonts w:ascii="Times New Roman" w:hAnsi="Times New Roman" w:eastAsia="仿宋_GB2312"/>
          <w:color w:val="auto"/>
          <w:sz w:val="32"/>
          <w:szCs w:val="32"/>
        </w:rPr>
        <w:t>，取得了良好成效。</w:t>
      </w:r>
    </w:p>
    <w:p>
      <w:pPr>
        <w:pStyle w:val="10"/>
        <w:tabs>
          <w:tab w:val="left" w:pos="3435"/>
        </w:tabs>
        <w:spacing w:line="578" w:lineRule="exact"/>
        <w:ind w:left="645" w:firstLine="0" w:firstLineChars="0"/>
        <w:rPr>
          <w:rFonts w:ascii="楷体" w:hAnsi="楷体" w:eastAsia="楷体"/>
          <w:color w:val="auto"/>
          <w:sz w:val="32"/>
          <w:szCs w:val="32"/>
        </w:rPr>
      </w:pPr>
      <w:r>
        <w:rPr>
          <w:rFonts w:hint="eastAsia" w:ascii="楷体" w:hAnsi="楷体" w:eastAsia="楷体" w:cs="方正楷体_GBK"/>
          <w:color w:val="auto"/>
          <w:sz w:val="32"/>
          <w:szCs w:val="32"/>
        </w:rPr>
        <w:t>（一）主动公开</w:t>
      </w:r>
    </w:p>
    <w:p>
      <w:pPr>
        <w:tabs>
          <w:tab w:val="left" w:pos="3435"/>
        </w:tabs>
        <w:spacing w:line="578"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按照</w:t>
      </w:r>
      <w:r>
        <w:rPr>
          <w:rFonts w:hint="eastAsia" w:ascii="Times New Roman" w:hAnsi="Times New Roman" w:eastAsia="仿宋_GB2312"/>
          <w:color w:val="auto"/>
          <w:sz w:val="32"/>
          <w:szCs w:val="32"/>
          <w:lang w:val="en-US" w:eastAsia="zh-CN"/>
        </w:rPr>
        <w:t>省委、省政府的</w:t>
      </w:r>
      <w:r>
        <w:rPr>
          <w:rFonts w:ascii="Times New Roman" w:hAnsi="Times New Roman" w:eastAsia="仿宋_GB2312"/>
          <w:color w:val="auto"/>
          <w:sz w:val="32"/>
          <w:szCs w:val="32"/>
        </w:rPr>
        <w:t>统一部署，</w:t>
      </w:r>
      <w:r>
        <w:rPr>
          <w:rFonts w:hint="eastAsia" w:ascii="Times New Roman" w:hAnsi="Times New Roman" w:eastAsia="仿宋_GB2312"/>
          <w:color w:val="auto"/>
          <w:sz w:val="32"/>
          <w:szCs w:val="32"/>
          <w:lang w:eastAsia="zh-CN"/>
        </w:rPr>
        <w:t>省卫生健康委</w:t>
      </w:r>
      <w:r>
        <w:rPr>
          <w:rFonts w:ascii="Times New Roman" w:hAnsi="Times New Roman" w:eastAsia="仿宋_GB2312"/>
          <w:color w:val="auto"/>
          <w:sz w:val="32"/>
          <w:szCs w:val="32"/>
        </w:rPr>
        <w:t>在</w:t>
      </w:r>
      <w:r>
        <w:rPr>
          <w:rFonts w:hint="eastAsia" w:ascii="Times New Roman" w:hAnsi="Times New Roman" w:eastAsia="仿宋_GB2312"/>
          <w:color w:val="auto"/>
          <w:sz w:val="32"/>
          <w:szCs w:val="32"/>
          <w:lang w:val="en-US" w:eastAsia="zh-CN"/>
        </w:rPr>
        <w:t>官方</w:t>
      </w:r>
      <w:r>
        <w:rPr>
          <w:rFonts w:ascii="Times New Roman" w:hAnsi="Times New Roman" w:eastAsia="仿宋_GB2312"/>
          <w:color w:val="auto"/>
          <w:sz w:val="32"/>
          <w:szCs w:val="32"/>
        </w:rPr>
        <w:t>网站上公布了权力清单、责任清单、政府信息公开目录、</w:t>
      </w:r>
      <w:r>
        <w:rPr>
          <w:rFonts w:hint="eastAsia" w:ascii="Times New Roman" w:hAnsi="Times New Roman" w:eastAsia="仿宋_GB2312"/>
          <w:color w:val="auto"/>
          <w:sz w:val="32"/>
          <w:szCs w:val="32"/>
        </w:rPr>
        <w:t>政府信息公开指南</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明确了政务公开的范围、主动公开和依申请公开的方式与程序，政务工作监督考核的方法和措施。</w:t>
      </w:r>
      <w:r>
        <w:rPr>
          <w:rFonts w:hint="eastAsia" w:ascii="Times New Roman" w:hAnsi="Times New Roman" w:eastAsia="仿宋_GB2312"/>
          <w:color w:val="auto"/>
          <w:sz w:val="32"/>
          <w:szCs w:val="32"/>
          <w:lang w:val="en-US" w:eastAsia="zh-CN"/>
        </w:rPr>
        <w:t>其中，</w:t>
      </w:r>
      <w:r>
        <w:rPr>
          <w:rFonts w:ascii="Times New Roman" w:hAnsi="Times New Roman" w:eastAsia="仿宋_GB2312"/>
          <w:color w:val="auto"/>
          <w:sz w:val="32"/>
          <w:szCs w:val="32"/>
        </w:rPr>
        <w:t>全省卫生健康系统信息公开范围主要是：机构职能；政策法规；规划计划；部门预算、部门决算；行政许可及其他审批事项；卫生标准、食品安全本省标准；全省卫生健康事业发展统计信息、</w:t>
      </w:r>
      <w:r>
        <w:rPr>
          <w:rFonts w:hint="eastAsia" w:ascii="Times New Roman" w:hAnsi="Times New Roman" w:eastAsia="仿宋_GB2312"/>
          <w:color w:val="auto"/>
          <w:sz w:val="32"/>
          <w:szCs w:val="32"/>
          <w:lang w:val="en-US" w:eastAsia="zh-CN"/>
        </w:rPr>
        <w:t>省卫生健康委</w:t>
      </w:r>
      <w:r>
        <w:rPr>
          <w:rFonts w:ascii="Times New Roman" w:hAnsi="Times New Roman" w:eastAsia="仿宋_GB2312"/>
          <w:color w:val="auto"/>
          <w:sz w:val="32"/>
          <w:szCs w:val="32"/>
        </w:rPr>
        <w:t>公告、</w:t>
      </w:r>
      <w:r>
        <w:rPr>
          <w:rFonts w:hint="eastAsia" w:ascii="Times New Roman" w:hAnsi="Times New Roman" w:eastAsia="仿宋_GB2312"/>
          <w:color w:val="auto"/>
          <w:sz w:val="32"/>
          <w:szCs w:val="32"/>
          <w:lang w:val="en-US" w:eastAsia="zh-CN"/>
        </w:rPr>
        <w:t>省卫生健康委</w:t>
      </w:r>
      <w:r>
        <w:rPr>
          <w:rFonts w:ascii="Times New Roman" w:hAnsi="Times New Roman" w:eastAsia="仿宋_GB2312"/>
          <w:color w:val="auto"/>
          <w:sz w:val="32"/>
          <w:szCs w:val="32"/>
        </w:rPr>
        <w:t>通告；法定传染病疫情和突发公共卫生事件信息以及干部任免、公务员考录、招标采购等其他需要社会公众广泛知晓或者参与的信息；工作动态等。</w:t>
      </w:r>
      <w:r>
        <w:rPr>
          <w:rFonts w:hint="eastAsia" w:ascii="Times New Roman" w:hAnsi="Times New Roman" w:eastAsia="仿宋_GB2312"/>
          <w:color w:val="auto"/>
          <w:sz w:val="32"/>
          <w:szCs w:val="32"/>
          <w:lang w:eastAsia="zh-CN"/>
        </w:rPr>
        <w:t>进一步优化了</w:t>
      </w:r>
      <w:r>
        <w:rPr>
          <w:rFonts w:hint="eastAsia" w:ascii="Times New Roman" w:hAnsi="Times New Roman" w:eastAsia="仿宋_GB2312"/>
          <w:color w:val="auto"/>
          <w:sz w:val="32"/>
          <w:szCs w:val="32"/>
        </w:rPr>
        <w:t>文件</w:t>
      </w:r>
      <w:r>
        <w:rPr>
          <w:rFonts w:hint="eastAsia" w:ascii="Times New Roman" w:hAnsi="Times New Roman" w:eastAsia="仿宋_GB2312"/>
          <w:color w:val="auto"/>
          <w:sz w:val="32"/>
          <w:szCs w:val="32"/>
          <w:lang w:eastAsia="zh-CN"/>
        </w:rPr>
        <w:t>公开</w:t>
      </w:r>
      <w:r>
        <w:rPr>
          <w:rFonts w:hint="eastAsia" w:ascii="Times New Roman" w:hAnsi="Times New Roman" w:eastAsia="仿宋_GB2312"/>
          <w:color w:val="auto"/>
          <w:sz w:val="32"/>
          <w:szCs w:val="32"/>
        </w:rPr>
        <w:t>审批程序，</w:t>
      </w:r>
      <w:r>
        <w:rPr>
          <w:rFonts w:hint="eastAsia" w:ascii="Times New Roman" w:hAnsi="Times New Roman" w:eastAsia="仿宋_GB2312"/>
          <w:color w:val="auto"/>
          <w:sz w:val="32"/>
          <w:szCs w:val="32"/>
          <w:lang w:eastAsia="zh-CN"/>
        </w:rPr>
        <w:t>责任</w:t>
      </w:r>
      <w:r>
        <w:rPr>
          <w:rFonts w:hint="eastAsia" w:ascii="Times New Roman" w:hAnsi="Times New Roman" w:eastAsia="仿宋_GB2312"/>
          <w:color w:val="auto"/>
          <w:sz w:val="32"/>
          <w:szCs w:val="32"/>
        </w:rPr>
        <w:t>处室在签批公文时可</w:t>
      </w:r>
      <w:r>
        <w:rPr>
          <w:rFonts w:hint="eastAsia" w:ascii="Times New Roman" w:hAnsi="Times New Roman" w:eastAsia="仿宋_GB2312"/>
          <w:color w:val="auto"/>
          <w:sz w:val="32"/>
          <w:szCs w:val="32"/>
          <w:lang w:eastAsia="zh-CN"/>
        </w:rPr>
        <w:t>同步</w:t>
      </w:r>
      <w:r>
        <w:rPr>
          <w:rFonts w:hint="eastAsia" w:ascii="Times New Roman" w:hAnsi="Times New Roman" w:eastAsia="仿宋_GB2312"/>
          <w:color w:val="auto"/>
          <w:sz w:val="32"/>
          <w:szCs w:val="32"/>
          <w:lang w:val="en-US" w:eastAsia="zh-CN"/>
        </w:rPr>
        <w:t>实行</w:t>
      </w:r>
      <w:r>
        <w:rPr>
          <w:rFonts w:hint="eastAsia" w:ascii="Times New Roman" w:hAnsi="Times New Roman" w:eastAsia="仿宋_GB2312"/>
          <w:color w:val="auto"/>
          <w:sz w:val="32"/>
          <w:szCs w:val="32"/>
        </w:rPr>
        <w:t>“规范性文件公开”等审核程序，进一步提高了公开效率。加强</w:t>
      </w:r>
      <w:r>
        <w:rPr>
          <w:rFonts w:ascii="Times New Roman" w:hAnsi="Times New Roman" w:eastAsia="仿宋_GB2312"/>
          <w:color w:val="auto"/>
          <w:sz w:val="32"/>
          <w:szCs w:val="32"/>
        </w:rPr>
        <w:t>机关规范性文件合法性审查工作，确保政府信息、政务服务依法依规</w:t>
      </w:r>
      <w:r>
        <w:rPr>
          <w:rFonts w:hint="eastAsia" w:ascii="Times New Roman" w:hAnsi="Times New Roman" w:eastAsia="仿宋_GB2312"/>
          <w:color w:val="auto"/>
          <w:sz w:val="32"/>
          <w:szCs w:val="32"/>
        </w:rPr>
        <w:t>进行</w:t>
      </w:r>
      <w:r>
        <w:rPr>
          <w:rFonts w:ascii="Times New Roman" w:hAnsi="Times New Roman" w:eastAsia="仿宋_GB2312"/>
          <w:color w:val="auto"/>
          <w:sz w:val="32"/>
          <w:szCs w:val="32"/>
        </w:rPr>
        <w:t>。</w:t>
      </w:r>
    </w:p>
    <w:p>
      <w:pPr>
        <w:spacing w:line="578"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同时，明确将</w:t>
      </w:r>
      <w:r>
        <w:rPr>
          <w:rFonts w:hint="eastAsia" w:ascii="Times New Roman" w:hAnsi="Times New Roman" w:eastAsia="仿宋_GB2312"/>
          <w:color w:val="auto"/>
          <w:sz w:val="32"/>
          <w:szCs w:val="32"/>
          <w:lang w:val="en-US" w:eastAsia="zh-CN"/>
        </w:rPr>
        <w:t>政府信息</w:t>
      </w:r>
      <w:r>
        <w:rPr>
          <w:rFonts w:ascii="Times New Roman" w:hAnsi="Times New Roman" w:eastAsia="仿宋_GB2312"/>
          <w:color w:val="auto"/>
          <w:sz w:val="32"/>
          <w:szCs w:val="32"/>
        </w:rPr>
        <w:t>公开纳入绩效考核体系，考核分值权重不低于4%</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并</w:t>
      </w:r>
      <w:r>
        <w:rPr>
          <w:rFonts w:ascii="Times New Roman" w:hAnsi="Times New Roman" w:eastAsia="仿宋_GB2312"/>
          <w:color w:val="auto"/>
          <w:sz w:val="32"/>
          <w:szCs w:val="32"/>
        </w:rPr>
        <w:t>定期督导</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确保</w:t>
      </w:r>
      <w:r>
        <w:rPr>
          <w:rFonts w:hint="eastAsia" w:ascii="Times New Roman" w:hAnsi="Times New Roman" w:eastAsia="仿宋_GB2312"/>
          <w:color w:val="auto"/>
          <w:sz w:val="32"/>
          <w:szCs w:val="32"/>
          <w:lang w:val="en-US" w:eastAsia="zh-CN"/>
        </w:rPr>
        <w:t>政府信息</w:t>
      </w:r>
      <w:r>
        <w:rPr>
          <w:rFonts w:ascii="Times New Roman" w:hAnsi="Times New Roman" w:eastAsia="仿宋_GB2312"/>
          <w:color w:val="auto"/>
          <w:sz w:val="32"/>
          <w:szCs w:val="32"/>
        </w:rPr>
        <w:t>公开工作落实到位。</w:t>
      </w:r>
    </w:p>
    <w:p>
      <w:pPr>
        <w:adjustRightInd w:val="0"/>
        <w:spacing w:line="610" w:lineRule="exact"/>
        <w:ind w:firstLine="640" w:firstLineChars="200"/>
        <w:rPr>
          <w:rFonts w:ascii="Times New Roman" w:hAnsi="Times New Roman" w:eastAsia="仿宋_GB2312"/>
          <w:bCs/>
          <w:color w:val="auto"/>
          <w:sz w:val="32"/>
          <w:szCs w:val="32"/>
        </w:rPr>
      </w:pPr>
      <w:r>
        <w:rPr>
          <w:rFonts w:ascii="仿宋_GB2312" w:hAnsi="仿宋_GB2312" w:eastAsia="仿宋_GB2312" w:cs="仿宋_GB2312"/>
          <w:b w:val="0"/>
          <w:bCs/>
          <w:color w:val="auto"/>
          <w:sz w:val="32"/>
          <w:szCs w:val="32"/>
        </w:rPr>
        <w:t>1.</w:t>
      </w:r>
      <w:r>
        <w:rPr>
          <w:rFonts w:hint="eastAsia" w:ascii="仿宋_GB2312" w:hAnsi="仿宋_GB2312" w:eastAsia="仿宋_GB2312" w:cs="仿宋_GB2312"/>
          <w:b w:val="0"/>
          <w:bCs/>
          <w:color w:val="auto"/>
          <w:sz w:val="32"/>
          <w:szCs w:val="32"/>
        </w:rPr>
        <w:t>扎实做好新冠疫情防控</w:t>
      </w:r>
      <w:r>
        <w:rPr>
          <w:rFonts w:hint="eastAsia" w:ascii="仿宋_GB2312" w:hAnsi="仿宋_GB2312" w:eastAsia="仿宋_GB2312" w:cs="仿宋_GB2312"/>
          <w:b w:val="0"/>
          <w:bCs/>
          <w:color w:val="auto"/>
          <w:sz w:val="32"/>
          <w:szCs w:val="32"/>
          <w:lang w:val="en-US" w:eastAsia="zh-CN"/>
        </w:rPr>
        <w:t>相关</w:t>
      </w:r>
      <w:r>
        <w:rPr>
          <w:rFonts w:hint="eastAsia" w:ascii="仿宋_GB2312" w:hAnsi="仿宋_GB2312" w:eastAsia="仿宋_GB2312" w:cs="仿宋_GB2312"/>
          <w:b w:val="0"/>
          <w:bCs/>
          <w:color w:val="auto"/>
          <w:sz w:val="32"/>
          <w:szCs w:val="32"/>
        </w:rPr>
        <w:t>宣传工作。</w:t>
      </w:r>
      <w:r>
        <w:rPr>
          <w:rFonts w:hint="eastAsia" w:ascii="Times New Roman" w:hAnsi="Times New Roman" w:eastAsia="仿宋_GB2312"/>
          <w:bCs/>
          <w:color w:val="auto"/>
          <w:sz w:val="32"/>
          <w:szCs w:val="32"/>
          <w:lang w:val="en-US" w:eastAsia="zh-CN"/>
        </w:rPr>
        <w:t>深入贯彻</w:t>
      </w:r>
      <w:r>
        <w:rPr>
          <w:rFonts w:ascii="Times New Roman" w:hAnsi="Times New Roman" w:eastAsia="仿宋_GB2312"/>
          <w:bCs/>
          <w:color w:val="auto"/>
          <w:sz w:val="32"/>
          <w:szCs w:val="32"/>
        </w:rPr>
        <w:t>宣传</w:t>
      </w:r>
      <w:r>
        <w:rPr>
          <w:rFonts w:hint="eastAsia" w:ascii="Times New Roman" w:hAnsi="Times New Roman" w:eastAsia="仿宋_GB2312"/>
          <w:bCs/>
          <w:color w:val="auto"/>
          <w:sz w:val="32"/>
          <w:szCs w:val="32"/>
          <w:lang w:val="en-US" w:eastAsia="zh-CN"/>
        </w:rPr>
        <w:t>党</w:t>
      </w:r>
      <w:r>
        <w:rPr>
          <w:rFonts w:ascii="Times New Roman" w:hAnsi="Times New Roman" w:eastAsia="仿宋_GB2312"/>
          <w:bCs/>
          <w:color w:val="auto"/>
          <w:sz w:val="32"/>
          <w:szCs w:val="32"/>
        </w:rPr>
        <w:t>中央</w:t>
      </w:r>
      <w:r>
        <w:rPr>
          <w:rFonts w:hint="eastAsia" w:ascii="Times New Roman" w:hAnsi="Times New Roman" w:eastAsia="仿宋_GB2312"/>
          <w:bCs/>
          <w:color w:val="auto"/>
          <w:sz w:val="32"/>
          <w:szCs w:val="32"/>
          <w:lang w:val="en-US" w:eastAsia="zh-CN"/>
        </w:rPr>
        <w:t>国务院</w:t>
      </w:r>
      <w:r>
        <w:rPr>
          <w:rFonts w:ascii="Times New Roman" w:hAnsi="Times New Roman" w:eastAsia="仿宋_GB2312"/>
          <w:bCs/>
          <w:color w:val="auto"/>
          <w:sz w:val="32"/>
          <w:szCs w:val="32"/>
        </w:rPr>
        <w:t>、省委</w:t>
      </w:r>
      <w:r>
        <w:rPr>
          <w:rFonts w:hint="eastAsia" w:ascii="Times New Roman" w:hAnsi="Times New Roman" w:eastAsia="仿宋_GB2312"/>
          <w:bCs/>
          <w:color w:val="auto"/>
          <w:sz w:val="32"/>
          <w:szCs w:val="32"/>
          <w:lang w:val="en-US" w:eastAsia="zh-CN"/>
        </w:rPr>
        <w:t>省政府关于新冠疫情防控的系列决策部署与政策措施</w:t>
      </w:r>
      <w:r>
        <w:rPr>
          <w:rFonts w:ascii="Times New Roman" w:hAnsi="Times New Roman" w:eastAsia="仿宋_GB2312"/>
          <w:bCs/>
          <w:color w:val="auto"/>
          <w:sz w:val="32"/>
          <w:szCs w:val="32"/>
        </w:rPr>
        <w:t>，强化正面宣传和舆论引导。</w:t>
      </w:r>
      <w:r>
        <w:rPr>
          <w:rFonts w:ascii="Times New Roman" w:hAnsi="Times New Roman" w:eastAsia="仿宋_GB2312"/>
          <w:bCs/>
          <w:color w:val="auto"/>
          <w:sz w:val="32"/>
          <w:szCs w:val="32"/>
          <w:lang w:eastAsia="zh-Hans"/>
        </w:rPr>
        <w:t>全年</w:t>
      </w:r>
      <w:r>
        <w:rPr>
          <w:rFonts w:ascii="Times New Roman" w:hAnsi="Times New Roman" w:eastAsia="仿宋_GB2312"/>
          <w:bCs/>
          <w:color w:val="auto"/>
          <w:sz w:val="32"/>
          <w:szCs w:val="32"/>
        </w:rPr>
        <w:t>组织官方发布疫情信息346次，组织医疗、疾控专家接受主流媒体采访，推出一批通俗易懂、形式多样的常态化疫情防控宣传</w:t>
      </w:r>
      <w:r>
        <w:rPr>
          <w:rFonts w:hint="eastAsia" w:ascii="Times New Roman" w:hAnsi="Times New Roman" w:eastAsia="仿宋_GB2312"/>
          <w:bCs/>
          <w:color w:val="auto"/>
          <w:sz w:val="32"/>
          <w:szCs w:val="32"/>
          <w:lang w:val="en-US" w:eastAsia="zh-CN"/>
        </w:rPr>
        <w:t>作</w:t>
      </w:r>
      <w:r>
        <w:rPr>
          <w:rFonts w:ascii="Times New Roman" w:hAnsi="Times New Roman" w:eastAsia="仿宋_GB2312"/>
          <w:bCs/>
          <w:color w:val="auto"/>
          <w:sz w:val="32"/>
          <w:szCs w:val="32"/>
        </w:rPr>
        <w:t>品，组织编印《生命至上》书籍3000册。特别是</w:t>
      </w:r>
      <w:r>
        <w:rPr>
          <w:rFonts w:ascii="Times New Roman" w:hAnsi="Times New Roman" w:eastAsia="仿宋_GB2312" w:cs="Times New Roman"/>
          <w:bCs/>
          <w:i w:val="0"/>
          <w:iCs w:val="0"/>
          <w:caps w:val="0"/>
          <w:color w:val="auto"/>
          <w:spacing w:val="0"/>
          <w:sz w:val="32"/>
          <w:szCs w:val="32"/>
        </w:rPr>
        <w:t>国务院联防联控机制综合组发布</w:t>
      </w:r>
      <w:r>
        <w:rPr>
          <w:rFonts w:hint="eastAsia" w:ascii="仿宋" w:hAnsi="仿宋" w:eastAsia="仿宋" w:cs="仿宋"/>
          <w:bCs/>
          <w:i w:val="0"/>
          <w:iCs w:val="0"/>
          <w:caps w:val="0"/>
          <w:color w:val="auto"/>
          <w:spacing w:val="0"/>
          <w:sz w:val="32"/>
          <w:szCs w:val="32"/>
        </w:rPr>
        <w:t>《</w:t>
      </w:r>
      <w:r>
        <w:rPr>
          <w:rFonts w:ascii="Times New Roman" w:hAnsi="Times New Roman" w:eastAsia="仿宋_GB2312" w:cs="Times New Roman"/>
          <w:bCs/>
          <w:i w:val="0"/>
          <w:iCs w:val="0"/>
          <w:caps w:val="0"/>
          <w:color w:val="auto"/>
          <w:spacing w:val="0"/>
          <w:sz w:val="32"/>
          <w:szCs w:val="32"/>
        </w:rPr>
        <w:t>关于进一步优化落实新冠肺炎疫情防控措施的通知</w:t>
      </w:r>
      <w:r>
        <w:rPr>
          <w:rFonts w:hint="eastAsia" w:ascii="仿宋" w:hAnsi="仿宋" w:eastAsia="仿宋" w:cs="仿宋"/>
          <w:bCs/>
          <w:i w:val="0"/>
          <w:iCs w:val="0"/>
          <w:caps w:val="0"/>
          <w:color w:val="auto"/>
          <w:spacing w:val="0"/>
          <w:sz w:val="32"/>
          <w:szCs w:val="32"/>
        </w:rPr>
        <w:t>》</w:t>
      </w:r>
      <w:r>
        <w:rPr>
          <w:rFonts w:ascii="Times New Roman" w:hAnsi="Times New Roman" w:eastAsia="仿宋_GB2312"/>
          <w:bCs/>
          <w:color w:val="auto"/>
          <w:sz w:val="32"/>
          <w:szCs w:val="32"/>
        </w:rPr>
        <w:t>后，每天拟定宣传报道方案，加强信息发布和宣传引导，协调</w:t>
      </w:r>
      <w:r>
        <w:rPr>
          <w:rFonts w:hint="eastAsia" w:ascii="Times New Roman" w:hAnsi="Times New Roman" w:eastAsia="仿宋_GB2312"/>
          <w:bCs/>
          <w:color w:val="auto"/>
          <w:sz w:val="32"/>
          <w:szCs w:val="32"/>
          <w:lang w:val="en-US" w:eastAsia="zh-CN"/>
        </w:rPr>
        <w:t>中央、省级媒体</w:t>
      </w:r>
      <w:r>
        <w:rPr>
          <w:rFonts w:ascii="Times New Roman" w:hAnsi="Times New Roman" w:eastAsia="仿宋_GB2312"/>
          <w:bCs/>
          <w:color w:val="auto"/>
          <w:sz w:val="32"/>
          <w:szCs w:val="32"/>
        </w:rPr>
        <w:t>及时报道全省疫情防控举措经验。</w:t>
      </w:r>
      <w:r>
        <w:rPr>
          <w:rFonts w:hint="eastAsia" w:ascii="Times New Roman" w:hAnsi="Times New Roman" w:eastAsia="仿宋_GB2312"/>
          <w:bCs/>
          <w:color w:val="auto"/>
          <w:sz w:val="32"/>
          <w:szCs w:val="32"/>
          <w:lang w:val="en-US" w:eastAsia="zh-CN"/>
        </w:rPr>
        <w:t>如2022年</w:t>
      </w:r>
      <w:r>
        <w:rPr>
          <w:rFonts w:ascii="Times New Roman" w:hAnsi="Times New Roman" w:eastAsia="仿宋_GB2312"/>
          <w:bCs/>
          <w:color w:val="auto"/>
          <w:sz w:val="32"/>
          <w:szCs w:val="32"/>
        </w:rPr>
        <w:t>12月15日</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CN"/>
        </w:rPr>
        <w:t>30</w:t>
      </w:r>
      <w:r>
        <w:rPr>
          <w:rFonts w:ascii="Times New Roman" w:hAnsi="Times New Roman" w:eastAsia="仿宋_GB2312"/>
          <w:bCs/>
          <w:color w:val="auto"/>
          <w:sz w:val="32"/>
          <w:szCs w:val="32"/>
        </w:rPr>
        <w:t>日，我省密集推出疫情防控相关稿件，在人民日报、新华社、中央电视台等央级媒体刊播86条（次）</w:t>
      </w:r>
      <w:r>
        <w:rPr>
          <w:rFonts w:hint="eastAsia" w:ascii="Times New Roman" w:hAnsi="Times New Roman" w:eastAsia="仿宋_GB2312"/>
          <w:bCs/>
          <w:color w:val="auto"/>
          <w:sz w:val="32"/>
          <w:szCs w:val="32"/>
          <w:lang w:eastAsia="zh-CN"/>
        </w:rPr>
        <w:t>。其中，</w:t>
      </w:r>
      <w:r>
        <w:rPr>
          <w:rFonts w:ascii="Times New Roman" w:hAnsi="Times New Roman" w:eastAsia="仿宋_GB2312"/>
          <w:bCs/>
          <w:color w:val="auto"/>
          <w:sz w:val="32"/>
          <w:szCs w:val="32"/>
        </w:rPr>
        <w:t>央视新闻联播、朝闻天下、晚间新闻等栏目刊播</w:t>
      </w:r>
      <w:r>
        <w:rPr>
          <w:rFonts w:hint="eastAsia" w:ascii="Times New Roman" w:hAnsi="Times New Roman" w:eastAsia="仿宋_GB2312"/>
          <w:bCs/>
          <w:color w:val="auto"/>
          <w:sz w:val="32"/>
          <w:szCs w:val="32"/>
          <w:lang w:val="en-US" w:eastAsia="zh-CN"/>
        </w:rPr>
        <w:t>相关</w:t>
      </w:r>
      <w:r>
        <w:rPr>
          <w:rFonts w:ascii="Times New Roman" w:hAnsi="Times New Roman" w:eastAsia="仿宋_GB2312"/>
          <w:bCs/>
          <w:color w:val="auto"/>
          <w:sz w:val="32"/>
          <w:szCs w:val="32"/>
        </w:rPr>
        <w:t>稿件15条。</w:t>
      </w:r>
    </w:p>
    <w:p>
      <w:pPr>
        <w:snapToGrid w:val="0"/>
        <w:spacing w:line="560" w:lineRule="exact"/>
        <w:ind w:firstLine="640" w:firstLineChars="200"/>
        <w:rPr>
          <w:rFonts w:ascii="Times New Roman" w:hAnsi="Times New Roman" w:eastAsia="仿宋_GB2312"/>
          <w:bCs/>
          <w:color w:val="auto"/>
          <w:sz w:val="32"/>
          <w:szCs w:val="32"/>
        </w:rPr>
      </w:pPr>
      <w:r>
        <w:rPr>
          <w:rFonts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rPr>
        <w:t>加强政务服务公开，积极推行阳光行政。</w:t>
      </w:r>
      <w:r>
        <w:rPr>
          <w:rFonts w:ascii="Times New Roman" w:hAnsi="Times New Roman" w:eastAsia="仿宋_GB2312"/>
          <w:bCs/>
          <w:color w:val="auto"/>
          <w:sz w:val="32"/>
          <w:szCs w:val="32"/>
        </w:rPr>
        <w:t>以深化行政审批制度改革为突破口，持续推进卫生健康领域“放管服”改革，全面落实“三集中三到位”工作，推进“一件事一次办”。明确2名首席审批员（AB角）、省卫生计生综合监督局受理</w:t>
      </w:r>
      <w:r>
        <w:rPr>
          <w:rFonts w:hint="eastAsia" w:ascii="Times New Roman" w:hAnsi="Times New Roman" w:eastAsia="仿宋_GB2312"/>
          <w:bCs/>
          <w:color w:val="auto"/>
          <w:sz w:val="32"/>
          <w:szCs w:val="32"/>
          <w:lang w:eastAsia="zh-CN"/>
        </w:rPr>
        <w:t>办结</w:t>
      </w:r>
      <w:r>
        <w:rPr>
          <w:rFonts w:ascii="Times New Roman" w:hAnsi="Times New Roman" w:eastAsia="仿宋_GB2312"/>
          <w:bCs/>
          <w:color w:val="auto"/>
          <w:sz w:val="32"/>
          <w:szCs w:val="32"/>
        </w:rPr>
        <w:t>处入驻省政务服务大厅，承担</w:t>
      </w:r>
      <w:r>
        <w:rPr>
          <w:rFonts w:hint="eastAsia" w:ascii="Times New Roman" w:hAnsi="Times New Roman" w:eastAsia="仿宋_GB2312"/>
          <w:bCs/>
          <w:color w:val="auto"/>
          <w:sz w:val="32"/>
          <w:szCs w:val="32"/>
          <w:lang w:eastAsia="zh-CN"/>
        </w:rPr>
        <w:t>省卫生健康委</w:t>
      </w:r>
      <w:r>
        <w:rPr>
          <w:rFonts w:ascii="Times New Roman" w:hAnsi="Times New Roman" w:eastAsia="仿宋_GB2312"/>
          <w:bCs/>
          <w:color w:val="auto"/>
          <w:sz w:val="32"/>
          <w:szCs w:val="32"/>
        </w:rPr>
        <w:t>政务窗口工作，入驻事项</w:t>
      </w:r>
      <w:r>
        <w:rPr>
          <w:rFonts w:hint="eastAsia" w:ascii="Times New Roman" w:hAnsi="Times New Roman" w:eastAsia="仿宋_GB2312"/>
          <w:bCs/>
          <w:color w:val="auto"/>
          <w:sz w:val="32"/>
          <w:szCs w:val="32"/>
          <w:lang w:val="en-US" w:eastAsia="zh-CN"/>
        </w:rPr>
        <w:t>28</w:t>
      </w:r>
      <w:r>
        <w:rPr>
          <w:rFonts w:ascii="Times New Roman" w:hAnsi="Times New Roman" w:eastAsia="仿宋_GB2312"/>
          <w:bCs/>
          <w:color w:val="auto"/>
          <w:sz w:val="32"/>
          <w:szCs w:val="32"/>
        </w:rPr>
        <w:t>项，授权窗口初审权2</w:t>
      </w:r>
      <w:r>
        <w:rPr>
          <w:rFonts w:hint="eastAsia" w:ascii="Times New Roman" w:hAnsi="Times New Roman" w:eastAsia="仿宋_GB2312"/>
          <w:bCs/>
          <w:color w:val="auto"/>
          <w:sz w:val="32"/>
          <w:szCs w:val="32"/>
          <w:lang w:val="en-US" w:eastAsia="zh-CN"/>
        </w:rPr>
        <w:t>7</w:t>
      </w:r>
      <w:r>
        <w:rPr>
          <w:rFonts w:ascii="Times New Roman" w:hAnsi="Times New Roman" w:eastAsia="仿宋_GB2312"/>
          <w:bCs/>
          <w:color w:val="auto"/>
          <w:sz w:val="32"/>
          <w:szCs w:val="32"/>
        </w:rPr>
        <w:t>项，审批权1项。202</w:t>
      </w:r>
      <w:r>
        <w:rPr>
          <w:rFonts w:hint="eastAsia" w:ascii="Times New Roman" w:hAnsi="Times New Roman" w:eastAsia="仿宋_GB2312"/>
          <w:bCs/>
          <w:color w:val="auto"/>
          <w:sz w:val="32"/>
          <w:szCs w:val="32"/>
          <w:lang w:val="en-US" w:eastAsia="zh-CN"/>
        </w:rPr>
        <w:t>2</w:t>
      </w:r>
      <w:r>
        <w:rPr>
          <w:rFonts w:ascii="Times New Roman" w:hAnsi="Times New Roman" w:eastAsia="仿宋_GB2312"/>
          <w:bCs/>
          <w:color w:val="auto"/>
          <w:sz w:val="32"/>
          <w:szCs w:val="32"/>
        </w:rPr>
        <w:t>年</w:t>
      </w:r>
      <w:r>
        <w:rPr>
          <w:rFonts w:hint="eastAsia" w:ascii="仿宋_GB2312" w:eastAsia="仿宋_GB2312"/>
          <w:bCs/>
          <w:color w:val="auto"/>
          <w:sz w:val="32"/>
          <w:szCs w:val="32"/>
        </w:rPr>
        <w:t>共受理6</w:t>
      </w:r>
      <w:r>
        <w:rPr>
          <w:rFonts w:hint="eastAsia" w:ascii="仿宋_GB2312" w:eastAsia="仿宋_GB2312"/>
          <w:bCs/>
          <w:color w:val="auto"/>
          <w:sz w:val="32"/>
          <w:szCs w:val="32"/>
          <w:lang w:val="en-US" w:eastAsia="zh-CN"/>
        </w:rPr>
        <w:t>368</w:t>
      </w:r>
      <w:r>
        <w:rPr>
          <w:rFonts w:hint="eastAsia" w:ascii="仿宋_GB2312" w:eastAsia="仿宋_GB2312"/>
          <w:bCs/>
          <w:color w:val="auto"/>
          <w:sz w:val="32"/>
          <w:szCs w:val="32"/>
        </w:rPr>
        <w:t>件，</w:t>
      </w:r>
      <w:r>
        <w:rPr>
          <w:rFonts w:hint="eastAsia" w:ascii="仿宋_GB2312" w:eastAsia="仿宋_GB2312"/>
          <w:bCs/>
          <w:color w:val="auto"/>
          <w:sz w:val="32"/>
          <w:szCs w:val="32"/>
          <w:lang w:eastAsia="zh-CN"/>
        </w:rPr>
        <w:t>办结</w:t>
      </w:r>
      <w:r>
        <w:rPr>
          <w:rFonts w:hint="eastAsia" w:ascii="仿宋_GB2312" w:eastAsia="仿宋_GB2312"/>
          <w:bCs/>
          <w:color w:val="auto"/>
          <w:sz w:val="32"/>
          <w:szCs w:val="32"/>
        </w:rPr>
        <w:t>61</w:t>
      </w:r>
      <w:r>
        <w:rPr>
          <w:rFonts w:hint="eastAsia" w:ascii="仿宋_GB2312" w:eastAsia="仿宋_GB2312"/>
          <w:bCs/>
          <w:color w:val="auto"/>
          <w:sz w:val="32"/>
          <w:szCs w:val="32"/>
          <w:lang w:val="en-US" w:eastAsia="zh-CN"/>
        </w:rPr>
        <w:t>38</w:t>
      </w:r>
      <w:r>
        <w:rPr>
          <w:rFonts w:hint="eastAsia" w:ascii="仿宋_GB2312" w:eastAsia="仿宋_GB2312"/>
          <w:bCs/>
          <w:color w:val="auto"/>
          <w:sz w:val="32"/>
          <w:szCs w:val="32"/>
        </w:rPr>
        <w:t>件。其中：受理医师执业注册申请</w:t>
      </w:r>
      <w:r>
        <w:rPr>
          <w:rFonts w:hint="eastAsia" w:ascii="仿宋_GB2312" w:eastAsia="仿宋_GB2312"/>
          <w:bCs/>
          <w:color w:val="auto"/>
          <w:sz w:val="32"/>
          <w:szCs w:val="32"/>
          <w:lang w:val="en-US" w:eastAsia="zh-CN"/>
        </w:rPr>
        <w:t>2807</w:t>
      </w:r>
      <w:r>
        <w:rPr>
          <w:rFonts w:hint="eastAsia" w:ascii="仿宋_GB2312" w:eastAsia="仿宋_GB2312"/>
          <w:bCs/>
          <w:color w:val="auto"/>
          <w:sz w:val="32"/>
          <w:szCs w:val="32"/>
        </w:rPr>
        <w:t>件，</w:t>
      </w:r>
      <w:r>
        <w:rPr>
          <w:rFonts w:hint="eastAsia" w:ascii="仿宋_GB2312" w:eastAsia="仿宋_GB2312"/>
          <w:bCs/>
          <w:color w:val="auto"/>
          <w:sz w:val="32"/>
          <w:szCs w:val="32"/>
          <w:lang w:eastAsia="zh-CN"/>
        </w:rPr>
        <w:t>办结</w:t>
      </w:r>
      <w:r>
        <w:rPr>
          <w:rFonts w:hint="eastAsia" w:ascii="仿宋_GB2312" w:eastAsia="仿宋_GB2312"/>
          <w:bCs/>
          <w:color w:val="auto"/>
          <w:sz w:val="32"/>
          <w:szCs w:val="32"/>
          <w:lang w:val="en-US" w:eastAsia="zh-CN"/>
        </w:rPr>
        <w:t>2807</w:t>
      </w:r>
      <w:r>
        <w:rPr>
          <w:rFonts w:hint="eastAsia" w:ascii="仿宋_GB2312" w:eastAsia="仿宋_GB2312"/>
          <w:bCs/>
          <w:color w:val="auto"/>
          <w:sz w:val="32"/>
          <w:szCs w:val="32"/>
        </w:rPr>
        <w:t>件；受理中医医疗广告发布审查</w:t>
      </w:r>
      <w:r>
        <w:rPr>
          <w:rFonts w:hint="eastAsia" w:ascii="仿宋_GB2312" w:eastAsia="仿宋_GB2312"/>
          <w:bCs/>
          <w:color w:val="auto"/>
          <w:sz w:val="32"/>
          <w:szCs w:val="32"/>
          <w:lang w:val="en-US" w:eastAsia="zh-CN"/>
        </w:rPr>
        <w:t>64</w:t>
      </w:r>
      <w:r>
        <w:rPr>
          <w:rFonts w:hint="eastAsia" w:ascii="仿宋_GB2312" w:eastAsia="仿宋_GB2312"/>
          <w:bCs/>
          <w:color w:val="auto"/>
          <w:sz w:val="32"/>
          <w:szCs w:val="32"/>
        </w:rPr>
        <w:t>件，</w:t>
      </w:r>
      <w:r>
        <w:rPr>
          <w:rFonts w:hint="eastAsia" w:ascii="仿宋_GB2312" w:eastAsia="仿宋_GB2312"/>
          <w:bCs/>
          <w:color w:val="auto"/>
          <w:sz w:val="32"/>
          <w:szCs w:val="32"/>
          <w:lang w:eastAsia="zh-CN"/>
        </w:rPr>
        <w:t>办结</w:t>
      </w:r>
      <w:r>
        <w:rPr>
          <w:rFonts w:hint="eastAsia" w:ascii="仿宋_GB2312" w:eastAsia="仿宋_GB2312"/>
          <w:bCs/>
          <w:color w:val="auto"/>
          <w:sz w:val="32"/>
          <w:szCs w:val="32"/>
          <w:lang w:val="en-US" w:eastAsia="zh-CN"/>
        </w:rPr>
        <w:t>62</w:t>
      </w:r>
      <w:r>
        <w:rPr>
          <w:rFonts w:hint="eastAsia" w:ascii="仿宋_GB2312" w:eastAsia="仿宋_GB2312"/>
          <w:bCs/>
          <w:color w:val="auto"/>
          <w:sz w:val="32"/>
          <w:szCs w:val="32"/>
        </w:rPr>
        <w:t>件；受理单采血浆站设置审批及许可证核发</w:t>
      </w:r>
      <w:r>
        <w:rPr>
          <w:rFonts w:hint="eastAsia" w:ascii="仿宋_GB2312" w:eastAsia="仿宋_GB2312"/>
          <w:bCs/>
          <w:color w:val="auto"/>
          <w:sz w:val="32"/>
          <w:szCs w:val="32"/>
          <w:lang w:val="en-US" w:eastAsia="zh-CN"/>
        </w:rPr>
        <w:t>15</w:t>
      </w:r>
      <w:r>
        <w:rPr>
          <w:rFonts w:hint="eastAsia" w:ascii="仿宋_GB2312" w:eastAsia="仿宋_GB2312"/>
          <w:bCs/>
          <w:color w:val="auto"/>
          <w:sz w:val="32"/>
          <w:szCs w:val="32"/>
        </w:rPr>
        <w:t>件，</w:t>
      </w:r>
      <w:r>
        <w:rPr>
          <w:rFonts w:hint="eastAsia" w:ascii="仿宋_GB2312" w:eastAsia="仿宋_GB2312"/>
          <w:bCs/>
          <w:color w:val="auto"/>
          <w:sz w:val="32"/>
          <w:szCs w:val="32"/>
          <w:lang w:eastAsia="zh-CN"/>
        </w:rPr>
        <w:t>办结</w:t>
      </w:r>
      <w:r>
        <w:rPr>
          <w:rFonts w:hint="eastAsia" w:ascii="仿宋_GB2312" w:eastAsia="仿宋_GB2312"/>
          <w:bCs/>
          <w:color w:val="auto"/>
          <w:sz w:val="32"/>
          <w:szCs w:val="32"/>
          <w:lang w:val="en-US" w:eastAsia="zh-CN"/>
        </w:rPr>
        <w:t>12</w:t>
      </w:r>
      <w:r>
        <w:rPr>
          <w:rFonts w:hint="eastAsia" w:ascii="仿宋_GB2312" w:eastAsia="仿宋_GB2312"/>
          <w:bCs/>
          <w:color w:val="auto"/>
          <w:sz w:val="32"/>
          <w:szCs w:val="32"/>
        </w:rPr>
        <w:t>件；受理食品安全企业标准备案</w:t>
      </w:r>
      <w:r>
        <w:rPr>
          <w:rFonts w:hint="eastAsia" w:ascii="仿宋_GB2312" w:eastAsia="仿宋_GB2312"/>
          <w:bCs/>
          <w:color w:val="auto"/>
          <w:sz w:val="32"/>
          <w:szCs w:val="32"/>
          <w:lang w:val="en-US" w:eastAsia="zh-CN"/>
        </w:rPr>
        <w:t>2573件</w:t>
      </w:r>
      <w:r>
        <w:rPr>
          <w:rFonts w:hint="eastAsia" w:ascii="仿宋_GB2312" w:eastAsia="仿宋_GB2312"/>
          <w:bCs/>
          <w:color w:val="auto"/>
          <w:sz w:val="32"/>
          <w:szCs w:val="32"/>
        </w:rPr>
        <w:t>，备案</w:t>
      </w:r>
      <w:r>
        <w:rPr>
          <w:rFonts w:hint="eastAsia" w:ascii="仿宋_GB2312" w:eastAsia="仿宋_GB2312"/>
          <w:bCs/>
          <w:color w:val="auto"/>
          <w:sz w:val="32"/>
          <w:szCs w:val="32"/>
          <w:lang w:val="en-US" w:eastAsia="zh-CN"/>
        </w:rPr>
        <w:t>2465件</w:t>
      </w:r>
      <w:r>
        <w:rPr>
          <w:rFonts w:hint="eastAsia" w:ascii="仿宋_GB2312" w:eastAsia="仿宋_GB2312"/>
          <w:bCs/>
          <w:color w:val="auto"/>
          <w:sz w:val="32"/>
          <w:szCs w:val="32"/>
        </w:rPr>
        <w:t>；受理</w:t>
      </w:r>
      <w:r>
        <w:rPr>
          <w:rFonts w:hint="eastAsia" w:ascii="仿宋_GB2312" w:eastAsia="仿宋_GB2312"/>
          <w:bCs/>
          <w:color w:val="auto"/>
          <w:sz w:val="32"/>
          <w:szCs w:val="32"/>
          <w:lang w:eastAsia="zh-CN"/>
        </w:rPr>
        <w:t>办结</w:t>
      </w:r>
      <w:r>
        <w:rPr>
          <w:rFonts w:hint="eastAsia" w:ascii="仿宋_GB2312" w:eastAsia="仿宋_GB2312"/>
          <w:bCs/>
          <w:color w:val="auto"/>
          <w:sz w:val="32"/>
          <w:szCs w:val="32"/>
        </w:rPr>
        <w:t>传染病防治消毒产品1</w:t>
      </w:r>
      <w:r>
        <w:rPr>
          <w:rFonts w:hint="eastAsia" w:ascii="仿宋_GB2312" w:eastAsia="仿宋_GB2312"/>
          <w:bCs/>
          <w:color w:val="auto"/>
          <w:sz w:val="32"/>
          <w:szCs w:val="32"/>
          <w:lang w:val="en-US" w:eastAsia="zh-CN"/>
        </w:rPr>
        <w:t>30</w:t>
      </w:r>
      <w:r>
        <w:rPr>
          <w:rFonts w:hint="eastAsia" w:ascii="仿宋_GB2312" w:eastAsia="仿宋_GB2312"/>
          <w:bCs/>
          <w:color w:val="auto"/>
          <w:sz w:val="32"/>
          <w:szCs w:val="32"/>
        </w:rPr>
        <w:t>件</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审批</w:t>
      </w:r>
      <w:r>
        <w:rPr>
          <w:rFonts w:ascii="仿宋_GB2312" w:eastAsia="仿宋_GB2312"/>
          <w:bCs/>
          <w:color w:val="auto"/>
          <w:sz w:val="32"/>
          <w:szCs w:val="32"/>
        </w:rPr>
        <w:t>1</w:t>
      </w:r>
      <w:r>
        <w:rPr>
          <w:rFonts w:hint="eastAsia" w:ascii="仿宋_GB2312" w:eastAsia="仿宋_GB2312"/>
          <w:bCs/>
          <w:color w:val="auto"/>
          <w:sz w:val="32"/>
          <w:szCs w:val="32"/>
          <w:lang w:val="en-US" w:eastAsia="zh-CN"/>
        </w:rPr>
        <w:t>2</w:t>
      </w:r>
      <w:r>
        <w:rPr>
          <w:rFonts w:ascii="仿宋_GB2312" w:eastAsia="仿宋_GB2312"/>
          <w:bCs/>
          <w:color w:val="auto"/>
          <w:sz w:val="32"/>
          <w:szCs w:val="32"/>
        </w:rPr>
        <w:t>8</w:t>
      </w:r>
      <w:r>
        <w:rPr>
          <w:rFonts w:hint="eastAsia" w:ascii="仿宋_GB2312" w:eastAsia="仿宋_GB2312"/>
          <w:bCs/>
          <w:color w:val="auto"/>
          <w:sz w:val="32"/>
          <w:szCs w:val="32"/>
        </w:rPr>
        <w:t>件；受理</w:t>
      </w:r>
      <w:r>
        <w:rPr>
          <w:rFonts w:ascii="仿宋_GB2312" w:eastAsia="仿宋_GB2312"/>
          <w:bCs/>
          <w:color w:val="auto"/>
          <w:sz w:val="32"/>
          <w:szCs w:val="32"/>
        </w:rPr>
        <w:t>涉及饮用水卫生安全的产品卫生许可</w:t>
      </w:r>
      <w:r>
        <w:rPr>
          <w:rFonts w:hint="eastAsia" w:ascii="仿宋_GB2312" w:eastAsia="仿宋_GB2312"/>
          <w:bCs/>
          <w:color w:val="auto"/>
          <w:sz w:val="32"/>
          <w:szCs w:val="32"/>
        </w:rPr>
        <w:t>1</w:t>
      </w:r>
      <w:r>
        <w:rPr>
          <w:rFonts w:hint="eastAsia" w:ascii="仿宋_GB2312" w:eastAsia="仿宋_GB2312"/>
          <w:bCs/>
          <w:color w:val="auto"/>
          <w:sz w:val="32"/>
          <w:szCs w:val="32"/>
          <w:lang w:val="en-US" w:eastAsia="zh-CN"/>
        </w:rPr>
        <w:t>46</w:t>
      </w:r>
      <w:r>
        <w:rPr>
          <w:rFonts w:hint="eastAsia" w:ascii="仿宋_GB2312" w:eastAsia="仿宋_GB2312"/>
          <w:bCs/>
          <w:color w:val="auto"/>
          <w:sz w:val="32"/>
          <w:szCs w:val="32"/>
        </w:rPr>
        <w:t>件，</w:t>
      </w:r>
      <w:r>
        <w:rPr>
          <w:rFonts w:hint="eastAsia" w:ascii="仿宋_GB2312" w:eastAsia="仿宋_GB2312"/>
          <w:bCs/>
          <w:color w:val="auto"/>
          <w:sz w:val="32"/>
          <w:szCs w:val="32"/>
          <w:lang w:eastAsia="zh-CN"/>
        </w:rPr>
        <w:t>办结</w:t>
      </w:r>
      <w:r>
        <w:rPr>
          <w:rFonts w:hint="eastAsia" w:ascii="仿宋_GB2312" w:eastAsia="仿宋_GB2312"/>
          <w:bCs/>
          <w:color w:val="auto"/>
          <w:sz w:val="32"/>
          <w:szCs w:val="32"/>
        </w:rPr>
        <w:t>13</w:t>
      </w:r>
      <w:r>
        <w:rPr>
          <w:rFonts w:hint="eastAsia" w:ascii="仿宋_GB2312" w:eastAsia="仿宋_GB2312"/>
          <w:bCs/>
          <w:color w:val="auto"/>
          <w:sz w:val="32"/>
          <w:szCs w:val="32"/>
          <w:lang w:val="en-US" w:eastAsia="zh-CN"/>
        </w:rPr>
        <w:t>2</w:t>
      </w:r>
      <w:r>
        <w:rPr>
          <w:rFonts w:hint="eastAsia" w:ascii="仿宋_GB2312" w:eastAsia="仿宋_GB2312"/>
          <w:bCs/>
          <w:color w:val="auto"/>
          <w:sz w:val="32"/>
          <w:szCs w:val="32"/>
        </w:rPr>
        <w:t>件；受理医疗机构放射性职业病危害建设项目竣工验收</w:t>
      </w:r>
      <w:r>
        <w:rPr>
          <w:rFonts w:hint="eastAsia" w:ascii="仿宋_GB2312" w:eastAsia="仿宋_GB2312"/>
          <w:bCs/>
          <w:color w:val="auto"/>
          <w:sz w:val="32"/>
          <w:szCs w:val="32"/>
          <w:lang w:val="en-US" w:eastAsia="zh-CN"/>
        </w:rPr>
        <w:t>87</w:t>
      </w:r>
      <w:r>
        <w:rPr>
          <w:rFonts w:hint="eastAsia" w:ascii="仿宋_GB2312" w:eastAsia="仿宋_GB2312"/>
          <w:bCs/>
          <w:color w:val="auto"/>
          <w:sz w:val="32"/>
          <w:szCs w:val="32"/>
        </w:rPr>
        <w:t>件,</w:t>
      </w:r>
      <w:r>
        <w:rPr>
          <w:rFonts w:hint="eastAsia" w:ascii="仿宋_GB2312" w:eastAsia="仿宋_GB2312"/>
          <w:bCs/>
          <w:color w:val="auto"/>
          <w:sz w:val="32"/>
          <w:szCs w:val="32"/>
          <w:lang w:eastAsia="zh-CN"/>
        </w:rPr>
        <w:t>办结</w:t>
      </w:r>
      <w:r>
        <w:rPr>
          <w:rFonts w:hint="eastAsia" w:ascii="仿宋_GB2312" w:eastAsia="仿宋_GB2312"/>
          <w:bCs/>
          <w:color w:val="auto"/>
          <w:sz w:val="32"/>
          <w:szCs w:val="32"/>
          <w:lang w:val="en-US" w:eastAsia="zh-CN"/>
        </w:rPr>
        <w:t>78</w:t>
      </w:r>
      <w:r>
        <w:rPr>
          <w:rFonts w:hint="eastAsia" w:ascii="仿宋_GB2312" w:eastAsia="仿宋_GB2312"/>
          <w:bCs/>
          <w:color w:val="auto"/>
          <w:sz w:val="32"/>
          <w:szCs w:val="32"/>
        </w:rPr>
        <w:t>件; 受理放射源诊疗技术和医用辐射机构许可11</w:t>
      </w:r>
      <w:r>
        <w:rPr>
          <w:rFonts w:hint="eastAsia" w:ascii="仿宋_GB2312" w:eastAsia="仿宋_GB2312"/>
          <w:bCs/>
          <w:color w:val="auto"/>
          <w:sz w:val="32"/>
          <w:szCs w:val="32"/>
          <w:lang w:val="en-US" w:eastAsia="zh-CN"/>
        </w:rPr>
        <w:t>6</w:t>
      </w:r>
      <w:r>
        <w:rPr>
          <w:rFonts w:hint="eastAsia" w:ascii="仿宋_GB2312" w:eastAsia="仿宋_GB2312"/>
          <w:bCs/>
          <w:color w:val="auto"/>
          <w:sz w:val="32"/>
          <w:szCs w:val="32"/>
        </w:rPr>
        <w:t>件，</w:t>
      </w:r>
      <w:r>
        <w:rPr>
          <w:rFonts w:hint="eastAsia" w:ascii="仿宋_GB2312" w:eastAsia="仿宋_GB2312"/>
          <w:bCs/>
          <w:color w:val="auto"/>
          <w:sz w:val="32"/>
          <w:szCs w:val="32"/>
          <w:lang w:eastAsia="zh-CN"/>
        </w:rPr>
        <w:t>办结</w:t>
      </w:r>
      <w:r>
        <w:rPr>
          <w:rFonts w:hint="eastAsia" w:ascii="仿宋_GB2312" w:eastAsia="仿宋_GB2312"/>
          <w:bCs/>
          <w:color w:val="auto"/>
          <w:sz w:val="32"/>
          <w:szCs w:val="32"/>
        </w:rPr>
        <w:t>10</w:t>
      </w:r>
      <w:r>
        <w:rPr>
          <w:rFonts w:hint="eastAsia" w:ascii="仿宋_GB2312" w:eastAsia="仿宋_GB2312"/>
          <w:bCs/>
          <w:color w:val="auto"/>
          <w:sz w:val="32"/>
          <w:szCs w:val="32"/>
          <w:lang w:val="en-US" w:eastAsia="zh-CN"/>
        </w:rPr>
        <w:t>3</w:t>
      </w:r>
      <w:r>
        <w:rPr>
          <w:rFonts w:hint="eastAsia" w:ascii="仿宋_GB2312" w:eastAsia="仿宋_GB2312"/>
          <w:bCs/>
          <w:color w:val="auto"/>
          <w:sz w:val="32"/>
          <w:szCs w:val="32"/>
        </w:rPr>
        <w:t>件；受理个人剂量监测、放射防护器材和含放射性产品检测、医疗机构放射性危害评价等技术服务机构认定1</w:t>
      </w:r>
      <w:r>
        <w:rPr>
          <w:rFonts w:hint="eastAsia" w:ascii="仿宋_GB2312" w:eastAsia="仿宋_GB2312"/>
          <w:bCs/>
          <w:color w:val="auto"/>
          <w:sz w:val="32"/>
          <w:szCs w:val="32"/>
          <w:lang w:val="en-US" w:eastAsia="zh-CN"/>
        </w:rPr>
        <w:t>1</w:t>
      </w:r>
      <w:r>
        <w:rPr>
          <w:rFonts w:hint="eastAsia" w:ascii="仿宋_GB2312" w:eastAsia="仿宋_GB2312"/>
          <w:bCs/>
          <w:color w:val="auto"/>
          <w:sz w:val="32"/>
          <w:szCs w:val="32"/>
        </w:rPr>
        <w:t>件，</w:t>
      </w:r>
      <w:r>
        <w:rPr>
          <w:rFonts w:hint="eastAsia" w:ascii="仿宋_GB2312" w:eastAsia="仿宋_GB2312"/>
          <w:bCs/>
          <w:color w:val="auto"/>
          <w:sz w:val="32"/>
          <w:szCs w:val="32"/>
          <w:lang w:eastAsia="zh-CN"/>
        </w:rPr>
        <w:t>办结</w:t>
      </w:r>
      <w:r>
        <w:rPr>
          <w:rFonts w:hint="eastAsia" w:ascii="仿宋_GB2312" w:eastAsia="仿宋_GB2312"/>
          <w:bCs/>
          <w:color w:val="auto"/>
          <w:sz w:val="32"/>
          <w:szCs w:val="32"/>
          <w:lang w:val="en-US" w:eastAsia="zh-CN"/>
        </w:rPr>
        <w:t>5</w:t>
      </w:r>
      <w:r>
        <w:rPr>
          <w:rFonts w:hint="eastAsia" w:ascii="仿宋_GB2312" w:eastAsia="仿宋_GB2312"/>
          <w:bCs/>
          <w:color w:val="auto"/>
          <w:sz w:val="32"/>
          <w:szCs w:val="32"/>
        </w:rPr>
        <w:t>件；受理放射工作人员证核发</w:t>
      </w:r>
      <w:r>
        <w:rPr>
          <w:rFonts w:hint="eastAsia" w:ascii="仿宋_GB2312" w:eastAsia="仿宋_GB2312"/>
          <w:bCs/>
          <w:color w:val="auto"/>
          <w:sz w:val="32"/>
          <w:szCs w:val="32"/>
          <w:lang w:val="en-US" w:eastAsia="zh-CN"/>
        </w:rPr>
        <w:t>83</w:t>
      </w:r>
      <w:r>
        <w:rPr>
          <w:rFonts w:hint="eastAsia" w:ascii="仿宋_GB2312" w:eastAsia="仿宋_GB2312"/>
          <w:bCs/>
          <w:color w:val="auto"/>
          <w:sz w:val="32"/>
          <w:szCs w:val="32"/>
        </w:rPr>
        <w:t>件,</w:t>
      </w:r>
      <w:r>
        <w:rPr>
          <w:rFonts w:hint="eastAsia" w:ascii="仿宋_GB2312" w:eastAsia="仿宋_GB2312"/>
          <w:bCs/>
          <w:color w:val="auto"/>
          <w:sz w:val="32"/>
          <w:szCs w:val="32"/>
          <w:lang w:eastAsia="zh-CN"/>
        </w:rPr>
        <w:t>办结</w:t>
      </w:r>
      <w:r>
        <w:rPr>
          <w:rFonts w:hint="eastAsia" w:ascii="仿宋_GB2312" w:eastAsia="仿宋_GB2312"/>
          <w:bCs/>
          <w:color w:val="auto"/>
          <w:sz w:val="32"/>
          <w:szCs w:val="32"/>
          <w:lang w:val="en-US" w:eastAsia="zh-CN"/>
        </w:rPr>
        <w:t>67</w:t>
      </w:r>
      <w:r>
        <w:rPr>
          <w:rFonts w:hint="eastAsia" w:ascii="仿宋_GB2312" w:eastAsia="仿宋_GB2312"/>
          <w:bCs/>
          <w:color w:val="auto"/>
          <w:sz w:val="32"/>
          <w:szCs w:val="32"/>
        </w:rPr>
        <w:t>件; 受理职业健康检查机构备案</w:t>
      </w:r>
      <w:r>
        <w:rPr>
          <w:rFonts w:hint="eastAsia" w:ascii="仿宋_GB2312" w:eastAsia="仿宋_GB2312"/>
          <w:bCs/>
          <w:color w:val="auto"/>
          <w:sz w:val="32"/>
          <w:szCs w:val="32"/>
          <w:lang w:val="en-US" w:eastAsia="zh-CN"/>
        </w:rPr>
        <w:t>57</w:t>
      </w:r>
      <w:r>
        <w:rPr>
          <w:rFonts w:hint="eastAsia" w:ascii="仿宋_GB2312" w:eastAsia="仿宋_GB2312"/>
          <w:bCs/>
          <w:color w:val="auto"/>
          <w:sz w:val="32"/>
          <w:szCs w:val="32"/>
        </w:rPr>
        <w:t>件，</w:t>
      </w:r>
      <w:r>
        <w:rPr>
          <w:rFonts w:hint="eastAsia" w:ascii="仿宋_GB2312" w:eastAsia="仿宋_GB2312"/>
          <w:bCs/>
          <w:color w:val="auto"/>
          <w:sz w:val="32"/>
          <w:szCs w:val="32"/>
          <w:lang w:eastAsia="zh-CN"/>
        </w:rPr>
        <w:t>办结</w:t>
      </w:r>
      <w:r>
        <w:rPr>
          <w:rFonts w:hint="eastAsia" w:ascii="仿宋_GB2312" w:eastAsia="仿宋_GB2312"/>
          <w:bCs/>
          <w:color w:val="auto"/>
          <w:sz w:val="32"/>
          <w:szCs w:val="32"/>
          <w:lang w:val="en-US" w:eastAsia="zh-CN"/>
        </w:rPr>
        <w:t>45</w:t>
      </w:r>
      <w:r>
        <w:rPr>
          <w:rFonts w:hint="eastAsia" w:ascii="仿宋_GB2312" w:eastAsia="仿宋_GB2312"/>
          <w:bCs/>
          <w:color w:val="auto"/>
          <w:sz w:val="32"/>
          <w:szCs w:val="32"/>
        </w:rPr>
        <w:t>件；受理职业病诊断机构备案</w:t>
      </w:r>
      <w:r>
        <w:rPr>
          <w:rFonts w:hint="eastAsia" w:ascii="仿宋_GB2312" w:eastAsia="仿宋_GB2312"/>
          <w:bCs/>
          <w:color w:val="auto"/>
          <w:sz w:val="32"/>
          <w:szCs w:val="32"/>
          <w:lang w:val="en-US" w:eastAsia="zh-CN"/>
        </w:rPr>
        <w:t>5</w:t>
      </w:r>
      <w:r>
        <w:rPr>
          <w:rFonts w:hint="eastAsia" w:ascii="仿宋_GB2312" w:eastAsia="仿宋_GB2312"/>
          <w:bCs/>
          <w:color w:val="auto"/>
          <w:sz w:val="32"/>
          <w:szCs w:val="32"/>
        </w:rPr>
        <w:t>件,</w:t>
      </w:r>
      <w:r>
        <w:rPr>
          <w:rFonts w:hint="eastAsia" w:ascii="仿宋_GB2312" w:eastAsia="仿宋_GB2312"/>
          <w:bCs/>
          <w:color w:val="auto"/>
          <w:sz w:val="32"/>
          <w:szCs w:val="32"/>
          <w:lang w:eastAsia="zh-CN"/>
        </w:rPr>
        <w:t>办结</w:t>
      </w:r>
      <w:r>
        <w:rPr>
          <w:rFonts w:hint="eastAsia" w:ascii="仿宋_GB2312" w:eastAsia="仿宋_GB2312"/>
          <w:bCs/>
          <w:color w:val="auto"/>
          <w:sz w:val="32"/>
          <w:szCs w:val="32"/>
          <w:lang w:val="en-US" w:eastAsia="zh-CN"/>
        </w:rPr>
        <w:t>4</w:t>
      </w:r>
      <w:r>
        <w:rPr>
          <w:rFonts w:hint="eastAsia" w:ascii="仿宋_GB2312" w:eastAsia="仿宋_GB2312"/>
          <w:bCs/>
          <w:color w:val="auto"/>
          <w:sz w:val="32"/>
          <w:szCs w:val="32"/>
        </w:rPr>
        <w:t>件;</w:t>
      </w:r>
      <w:r>
        <w:rPr>
          <w:rFonts w:hint="eastAsia"/>
          <w:bCs/>
          <w:color w:val="auto"/>
        </w:rPr>
        <w:t xml:space="preserve"> </w:t>
      </w:r>
      <w:r>
        <w:rPr>
          <w:rFonts w:hint="eastAsia" w:ascii="仿宋_GB2312" w:eastAsia="仿宋_GB2312"/>
          <w:bCs/>
          <w:color w:val="auto"/>
          <w:sz w:val="32"/>
          <w:szCs w:val="32"/>
        </w:rPr>
        <w:t>受理职业卫生技术服务机构资质认可</w:t>
      </w:r>
      <w:r>
        <w:rPr>
          <w:rFonts w:hint="eastAsia" w:ascii="仿宋_GB2312" w:eastAsia="仿宋_GB2312"/>
          <w:bCs/>
          <w:color w:val="auto"/>
          <w:sz w:val="32"/>
          <w:szCs w:val="32"/>
          <w:lang w:val="en-US" w:eastAsia="zh-CN"/>
        </w:rPr>
        <w:t>33</w:t>
      </w:r>
      <w:r>
        <w:rPr>
          <w:rFonts w:hint="eastAsia" w:ascii="仿宋_GB2312" w:eastAsia="仿宋_GB2312"/>
          <w:bCs/>
          <w:color w:val="auto"/>
          <w:sz w:val="32"/>
          <w:szCs w:val="32"/>
        </w:rPr>
        <w:t>件,</w:t>
      </w:r>
      <w:r>
        <w:rPr>
          <w:rFonts w:hint="eastAsia" w:ascii="仿宋_GB2312" w:eastAsia="仿宋_GB2312"/>
          <w:bCs/>
          <w:color w:val="auto"/>
          <w:sz w:val="32"/>
          <w:szCs w:val="32"/>
          <w:lang w:eastAsia="zh-CN"/>
        </w:rPr>
        <w:t>办结</w:t>
      </w:r>
      <w:r>
        <w:rPr>
          <w:rFonts w:hint="eastAsia" w:ascii="仿宋_GB2312" w:eastAsia="仿宋_GB2312"/>
          <w:bCs/>
          <w:color w:val="auto"/>
          <w:sz w:val="32"/>
          <w:szCs w:val="32"/>
          <w:lang w:val="en-US" w:eastAsia="zh-CN"/>
        </w:rPr>
        <w:t>25</w:t>
      </w:r>
      <w:r>
        <w:rPr>
          <w:rFonts w:hint="eastAsia" w:ascii="仿宋_GB2312" w:eastAsia="仿宋_GB2312"/>
          <w:bCs/>
          <w:color w:val="auto"/>
          <w:sz w:val="32"/>
          <w:szCs w:val="32"/>
        </w:rPr>
        <w:t>件;</w:t>
      </w:r>
      <w:r>
        <w:rPr>
          <w:rFonts w:hint="eastAsia"/>
          <w:bCs/>
          <w:color w:val="auto"/>
        </w:rPr>
        <w:t xml:space="preserve"> </w:t>
      </w:r>
      <w:r>
        <w:rPr>
          <w:rFonts w:hint="eastAsia" w:ascii="仿宋_GB2312" w:eastAsia="仿宋_GB2312"/>
          <w:bCs/>
          <w:color w:val="auto"/>
          <w:sz w:val="32"/>
          <w:szCs w:val="32"/>
        </w:rPr>
        <w:t>受理职业病诊断医师资格证书核发</w:t>
      </w:r>
      <w:r>
        <w:rPr>
          <w:rFonts w:hint="eastAsia" w:ascii="仿宋_GB2312" w:eastAsia="仿宋_GB2312"/>
          <w:bCs/>
          <w:color w:val="auto"/>
          <w:sz w:val="32"/>
          <w:szCs w:val="32"/>
          <w:lang w:val="en-US" w:eastAsia="zh-CN"/>
        </w:rPr>
        <w:t>243</w:t>
      </w:r>
      <w:r>
        <w:rPr>
          <w:rFonts w:hint="eastAsia" w:ascii="仿宋_GB2312" w:eastAsia="仿宋_GB2312"/>
          <w:bCs/>
          <w:color w:val="auto"/>
          <w:sz w:val="32"/>
          <w:szCs w:val="32"/>
        </w:rPr>
        <w:t>件,</w:t>
      </w:r>
      <w:r>
        <w:rPr>
          <w:rFonts w:hint="eastAsia" w:ascii="仿宋_GB2312" w:eastAsia="仿宋_GB2312"/>
          <w:bCs/>
          <w:color w:val="auto"/>
          <w:sz w:val="32"/>
          <w:szCs w:val="32"/>
          <w:lang w:eastAsia="zh-CN"/>
        </w:rPr>
        <w:t>办结</w:t>
      </w:r>
      <w:r>
        <w:rPr>
          <w:rFonts w:hint="eastAsia" w:ascii="仿宋_GB2312" w:eastAsia="仿宋_GB2312"/>
          <w:bCs/>
          <w:color w:val="auto"/>
          <w:sz w:val="32"/>
          <w:szCs w:val="32"/>
          <w:lang w:val="en-US" w:eastAsia="zh-CN"/>
        </w:rPr>
        <w:t>203</w:t>
      </w:r>
      <w:r>
        <w:rPr>
          <w:rFonts w:hint="eastAsia" w:ascii="仿宋_GB2312" w:eastAsia="仿宋_GB2312"/>
          <w:bCs/>
          <w:color w:val="auto"/>
          <w:sz w:val="32"/>
          <w:szCs w:val="32"/>
        </w:rPr>
        <w:t>件。</w:t>
      </w:r>
      <w:r>
        <w:rPr>
          <w:rFonts w:hint="eastAsia" w:ascii="仿宋_GB2312" w:eastAsia="仿宋_GB2312"/>
          <w:bCs/>
          <w:color w:val="auto"/>
          <w:sz w:val="32"/>
          <w:szCs w:val="32"/>
          <w:lang w:eastAsia="zh-CN"/>
        </w:rPr>
        <w:t>同时，</w:t>
      </w:r>
      <w:r>
        <w:rPr>
          <w:rFonts w:ascii="Times New Roman" w:hAnsi="Times New Roman" w:eastAsia="仿宋_GB2312"/>
          <w:bCs/>
          <w:color w:val="auto"/>
          <w:sz w:val="32"/>
          <w:szCs w:val="32"/>
        </w:rPr>
        <w:t>在全省全面推开公共场所卫生许可告知承诺制，实行食品及公共场所等行业从业人员电子健康证，建立全省医疗废物信息化监管平台。</w:t>
      </w:r>
    </w:p>
    <w:p>
      <w:pPr>
        <w:ind w:firstLine="640" w:firstLineChars="200"/>
        <w:textAlignment w:val="baseline"/>
        <w:rPr>
          <w:rFonts w:ascii="Times New Roman" w:hAnsi="Times New Roman" w:eastAsia="仿宋_GB2312"/>
          <w:bCs/>
          <w:color w:val="auto"/>
          <w:sz w:val="32"/>
          <w:szCs w:val="32"/>
        </w:rPr>
      </w:pPr>
      <w:r>
        <w:rPr>
          <w:rFonts w:ascii="仿宋_GB2312" w:hAnsi="仿宋_GB2312" w:eastAsia="仿宋_GB2312" w:cs="仿宋_GB2312"/>
          <w:b w:val="0"/>
          <w:bCs/>
          <w:color w:val="auto"/>
          <w:sz w:val="32"/>
          <w:szCs w:val="32"/>
        </w:rPr>
        <w:t>3.</w:t>
      </w:r>
      <w:r>
        <w:rPr>
          <w:rFonts w:hint="eastAsia" w:ascii="仿宋_GB2312" w:hAnsi="仿宋_GB2312" w:eastAsia="仿宋_GB2312" w:cs="仿宋_GB2312"/>
          <w:b w:val="0"/>
          <w:bCs/>
          <w:color w:val="auto"/>
          <w:sz w:val="32"/>
          <w:szCs w:val="32"/>
        </w:rPr>
        <w:t>稳步推进食品安全、</w:t>
      </w:r>
      <w:r>
        <w:rPr>
          <w:rFonts w:hint="eastAsia" w:ascii="仿宋_GB2312" w:hAnsi="仿宋_GB2312" w:eastAsia="仿宋_GB2312" w:cs="仿宋_GB2312"/>
          <w:b w:val="0"/>
          <w:bCs/>
          <w:color w:val="auto"/>
          <w:sz w:val="32"/>
          <w:szCs w:val="32"/>
          <w:lang w:val="en-US" w:eastAsia="zh-CN"/>
        </w:rPr>
        <w:t>国民营养</w:t>
      </w:r>
      <w:r>
        <w:rPr>
          <w:rFonts w:hint="eastAsia" w:ascii="仿宋_GB2312" w:hAnsi="仿宋_GB2312" w:eastAsia="仿宋_GB2312" w:cs="仿宋_GB2312"/>
          <w:b w:val="0"/>
          <w:bCs/>
          <w:color w:val="auto"/>
          <w:sz w:val="32"/>
          <w:szCs w:val="32"/>
        </w:rPr>
        <w:t>等重点领域信息公开。</w:t>
      </w:r>
      <w:r>
        <w:rPr>
          <w:rFonts w:ascii="Times New Roman" w:hAnsi="Times New Roman" w:eastAsia="仿宋_GB2312"/>
          <w:bCs/>
          <w:color w:val="auto"/>
          <w:sz w:val="32"/>
          <w:szCs w:val="32"/>
        </w:rPr>
        <w:t>强化食品安全信息公开，开展食品安全信息化项目，切实做好食品安全宣传工作，扎实完成食品安全标准管理工作，创新制定《湖南省进口冷链食品涉疫事件应急处置指南》，加强对冷链食品、相关环境、从业人员的新冠病毒风险监测指导，推动集中监管仓建设，指导处置10多起进口冷链食品涉疫阳性事件</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CN"/>
        </w:rPr>
        <w:t>并开展网络宣传，公开有关信息。</w:t>
      </w:r>
      <w:r>
        <w:rPr>
          <w:rFonts w:ascii="Times New Roman" w:hAnsi="Times New Roman" w:eastAsia="仿宋_GB2312"/>
          <w:bCs/>
          <w:color w:val="auto"/>
          <w:sz w:val="32"/>
          <w:szCs w:val="32"/>
        </w:rPr>
        <w:t>加快对特色食品产业发展和监管急需的食品安全地方标准的制修订工作，发布《预制长沙臭豆腐生产卫生规范》《猪血丸子》</w:t>
      </w:r>
      <w:r>
        <w:rPr>
          <w:rFonts w:hint="eastAsia" w:ascii="Times New Roman" w:hAnsi="Times New Roman" w:eastAsia="仿宋_GB2312"/>
          <w:bCs/>
          <w:color w:val="auto"/>
          <w:sz w:val="32"/>
          <w:szCs w:val="32"/>
          <w:lang w:val="en-US" w:eastAsia="zh-CN"/>
        </w:rPr>
        <w:t>等</w:t>
      </w:r>
      <w:r>
        <w:rPr>
          <w:rFonts w:ascii="Times New Roman" w:hAnsi="Times New Roman" w:eastAsia="仿宋_GB2312"/>
          <w:bCs/>
          <w:color w:val="auto"/>
          <w:sz w:val="32"/>
          <w:szCs w:val="32"/>
        </w:rPr>
        <w:t>5个食品安全地方标准</w:t>
      </w:r>
      <w:r>
        <w:rPr>
          <w:rFonts w:ascii="Times New Roman" w:hAnsi="Times New Roman" w:eastAsia="仿宋_GB2312"/>
          <w:bCs/>
          <w:color w:val="auto"/>
          <w:spacing w:val="6"/>
          <w:sz w:val="32"/>
          <w:szCs w:val="32"/>
        </w:rPr>
        <w:t>。</w:t>
      </w:r>
      <w:r>
        <w:rPr>
          <w:rFonts w:ascii="Times New Roman" w:hAnsi="Times New Roman" w:eastAsia="仿宋_GB2312"/>
          <w:bCs/>
          <w:color w:val="auto"/>
          <w:sz w:val="32"/>
          <w:szCs w:val="32"/>
        </w:rPr>
        <w:t>会同省食安办发布《湖南毒蘑菇中毒风险分级动态调整办法（试行）》，协同成立湖南省野生蘑菇中毒突发事件应急处置指导组</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印发专门通知，组织专项督导，召开调度会议，加强风险预警，并充分发挥各级计生协的作用，打通毒蘑菇防控工作的“最后一公里”</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CN"/>
        </w:rPr>
        <w:t>同时，</w:t>
      </w:r>
      <w:r>
        <w:rPr>
          <w:rFonts w:ascii="Times New Roman" w:hAnsi="Times New Roman" w:eastAsia="仿宋_GB2312"/>
          <w:bCs/>
          <w:color w:val="auto"/>
          <w:sz w:val="32"/>
          <w:szCs w:val="32"/>
        </w:rPr>
        <w:t>结合监测结果</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编辑7期《湖南省食品安全风险监测快讯》</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实时通报预警</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向公众发布李斯特菌、诺如病毒、毒蘑菇等食源性疾病相关风险预警10余次</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CN"/>
        </w:rPr>
        <w:t>开展</w:t>
      </w:r>
      <w:r>
        <w:rPr>
          <w:rFonts w:ascii="Times New Roman" w:hAnsi="Times New Roman" w:eastAsia="仿宋_GB2312"/>
          <w:bCs/>
          <w:color w:val="auto"/>
          <w:sz w:val="32"/>
          <w:szCs w:val="32"/>
        </w:rPr>
        <w:t>食源性疾病</w:t>
      </w:r>
      <w:r>
        <w:rPr>
          <w:rFonts w:hint="eastAsia" w:ascii="Times New Roman" w:hAnsi="Times New Roman" w:eastAsia="仿宋_GB2312"/>
          <w:bCs/>
          <w:color w:val="auto"/>
          <w:sz w:val="32"/>
          <w:szCs w:val="32"/>
          <w:lang w:val="en-US" w:eastAsia="zh-CN"/>
        </w:rPr>
        <w:t>监测、宣传</w:t>
      </w:r>
      <w:r>
        <w:rPr>
          <w:rFonts w:ascii="Times New Roman" w:hAnsi="Times New Roman" w:eastAsia="仿宋_GB2312"/>
          <w:bCs/>
          <w:color w:val="auto"/>
          <w:sz w:val="32"/>
          <w:szCs w:val="32"/>
        </w:rPr>
        <w:t>。截至12月31日，报告医院共上报食源性疾病病例70486例，哨点医院采集生物标本4245份，完成5种病原体检测，食源性疾病暴发事件263起，发病1032人。化学污染物监测样本14690份，食品微生物监测样本6276份，放射性污染监测样本70份。</w:t>
      </w:r>
      <w:r>
        <w:rPr>
          <w:rFonts w:hint="eastAsia" w:ascii="Times New Roman" w:hAnsi="Times New Roman" w:eastAsia="仿宋_GB2312"/>
          <w:bCs/>
          <w:color w:val="auto"/>
          <w:sz w:val="32"/>
          <w:szCs w:val="32"/>
          <w:lang w:val="en-US" w:eastAsia="zh-CN"/>
        </w:rPr>
        <w:t>同时，积极推动</w:t>
      </w:r>
      <w:r>
        <w:rPr>
          <w:rFonts w:ascii="Times New Roman" w:hAnsi="Times New Roman" w:eastAsia="仿宋_GB2312"/>
          <w:bCs/>
          <w:color w:val="auto"/>
          <w:sz w:val="32"/>
          <w:szCs w:val="32"/>
        </w:rPr>
        <w:t>国民营养计划和合理膳食行动</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贯彻落实国家卫生健康委《临床营养科建设与管理指南（试行）》，在全国率先启动《医院临床营养食品生产卫生规范》制订工作</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CN"/>
        </w:rPr>
        <w:t>加强食品安全宣传工作，</w:t>
      </w:r>
      <w:r>
        <w:rPr>
          <w:rFonts w:ascii="Times New Roman" w:hAnsi="Times New Roman" w:eastAsia="仿宋_GB2312"/>
          <w:bCs/>
          <w:color w:val="auto"/>
          <w:sz w:val="32"/>
          <w:szCs w:val="32"/>
        </w:rPr>
        <w:t>在湖南省</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5.17</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预防野生蘑菇中毒宣传日、全国食品安全周、全民营养周、“5.20”全国学生营养日等重要节点开展系列主题宣传活动，首创通过天气预报发布野生蘑菇中毒预警信息，食品安全和营养健康相关宣传线上直播7场、推送科普素材60余篇次，营养健康微博话题，点击数2100多万次，线下“五进”活动直接覆盖人群超3万，发放宣传材料超1万余份，系列宣传活动得到省内10余家主流媒体报道。认真组织开展食品安全“护老”行动，会同相关部门严厉打击保健品虚假宣传和欺诈行为，切实维护老年人健康权益。</w:t>
      </w:r>
    </w:p>
    <w:p>
      <w:pPr>
        <w:pBdr>
          <w:bottom w:val="single" w:color="FFFFFF" w:sz="4" w:space="31"/>
        </w:pBdr>
        <w:tabs>
          <w:tab w:val="left" w:pos="1440"/>
        </w:tabs>
        <w:ind w:firstLine="640" w:firstLineChars="200"/>
        <w:rPr>
          <w:rFonts w:hint="eastAsia" w:ascii="仿宋_GB2312" w:hAnsi="仿宋_GB2312" w:eastAsia="仿宋_GB2312" w:cs="仿宋_GB2312"/>
          <w:b w:val="0"/>
          <w:bCs/>
          <w:color w:val="auto"/>
          <w:sz w:val="32"/>
          <w:szCs w:val="32"/>
        </w:rPr>
      </w:pPr>
      <w:r>
        <w:rPr>
          <w:rFonts w:ascii="仿宋_GB2312" w:hAnsi="仿宋_GB2312" w:eastAsia="仿宋_GB2312" w:cs="仿宋_GB2312"/>
          <w:b w:val="0"/>
          <w:bCs/>
          <w:color w:val="auto"/>
          <w:sz w:val="32"/>
          <w:szCs w:val="32"/>
        </w:rPr>
        <w:t>4.</w:t>
      </w:r>
      <w:r>
        <w:rPr>
          <w:rFonts w:hint="eastAsia" w:ascii="仿宋_GB2312" w:hAnsi="仿宋_GB2312" w:eastAsia="仿宋_GB2312" w:cs="仿宋_GB2312"/>
          <w:bCs/>
          <w:color w:val="auto"/>
          <w:sz w:val="32"/>
          <w:szCs w:val="32"/>
          <w:lang w:val="en" w:eastAsia="zh-CN"/>
        </w:rPr>
        <w:t>深化医药卫生体制改革</w:t>
      </w:r>
      <w:r>
        <w:rPr>
          <w:rFonts w:hint="eastAsia" w:ascii="仿宋_GB2312" w:hAnsi="仿宋_GB2312" w:eastAsia="仿宋_GB2312" w:cs="仿宋_GB2312"/>
          <w:b w:val="0"/>
          <w:bCs/>
          <w:color w:val="auto"/>
          <w:sz w:val="32"/>
          <w:szCs w:val="32"/>
        </w:rPr>
        <w:t>。</w:t>
      </w:r>
      <w:r>
        <w:rPr>
          <w:rFonts w:ascii="Times New Roman" w:hAnsi="Times New Roman" w:eastAsia="仿宋_GB2312"/>
          <w:b w:val="0"/>
          <w:bCs/>
          <w:color w:val="auto"/>
          <w:sz w:val="32"/>
          <w:szCs w:val="32"/>
          <w:lang w:val="en"/>
        </w:rPr>
        <w:t>协调推进医保支付方式改革</w:t>
      </w:r>
      <w:r>
        <w:rPr>
          <w:rFonts w:hint="default" w:ascii="Times New Roman" w:hAnsi="Times New Roman" w:eastAsia="仿宋_GB2312"/>
          <w:b w:val="0"/>
          <w:bCs/>
          <w:color w:val="auto"/>
          <w:sz w:val="32"/>
          <w:szCs w:val="32"/>
          <w:lang w:val="en" w:eastAsia="zh-CN"/>
        </w:rPr>
        <w:t>，</w:t>
      </w:r>
      <w:r>
        <w:rPr>
          <w:rFonts w:ascii="Times New Roman" w:hAnsi="Times New Roman" w:eastAsia="仿宋_GB2312"/>
          <w:b w:val="0"/>
          <w:bCs/>
          <w:color w:val="auto"/>
          <w:sz w:val="32"/>
          <w:szCs w:val="32"/>
          <w:lang w:val="en"/>
        </w:rPr>
        <w:t>持续推进医疗服务价格调整</w:t>
      </w:r>
      <w:r>
        <w:rPr>
          <w:rFonts w:hint="default" w:ascii="Times New Roman" w:hAnsi="Times New Roman" w:eastAsia="仿宋_GB2312"/>
          <w:b w:val="0"/>
          <w:bCs/>
          <w:color w:val="auto"/>
          <w:sz w:val="32"/>
          <w:szCs w:val="32"/>
          <w:lang w:val="en" w:eastAsia="zh-CN"/>
        </w:rPr>
        <w:t>，</w:t>
      </w:r>
      <w:r>
        <w:rPr>
          <w:rFonts w:ascii="Times New Roman" w:hAnsi="Times New Roman" w:eastAsia="仿宋_GB2312"/>
          <w:b w:val="0"/>
          <w:bCs/>
          <w:color w:val="auto"/>
          <w:sz w:val="32"/>
          <w:szCs w:val="32"/>
          <w:lang w:val="en"/>
        </w:rPr>
        <w:t>加速推进药品耗材集中带量采购</w:t>
      </w:r>
      <w:r>
        <w:rPr>
          <w:rFonts w:hint="default" w:ascii="Times New Roman" w:hAnsi="Times New Roman" w:eastAsia="仿宋_GB2312"/>
          <w:b w:val="0"/>
          <w:bCs/>
          <w:color w:val="auto"/>
          <w:sz w:val="32"/>
          <w:szCs w:val="32"/>
          <w:lang w:val="en" w:eastAsia="zh-CN"/>
        </w:rPr>
        <w:t>，</w:t>
      </w:r>
      <w:r>
        <w:rPr>
          <w:rFonts w:ascii="Times New Roman" w:hAnsi="Times New Roman" w:eastAsia="仿宋_GB2312"/>
          <w:b w:val="0"/>
          <w:bCs/>
          <w:color w:val="auto"/>
          <w:sz w:val="32"/>
          <w:szCs w:val="32"/>
          <w:lang w:val="en"/>
        </w:rPr>
        <w:t>深化公立医院人事薪酬制度改革。</w:t>
      </w:r>
      <w:r>
        <w:rPr>
          <w:rFonts w:ascii="Times New Roman" w:hAnsi="Times New Roman" w:eastAsia="仿宋_GB2312"/>
          <w:bCs/>
          <w:color w:val="auto"/>
          <w:sz w:val="32"/>
          <w:szCs w:val="32"/>
        </w:rPr>
        <w:t>启动省级公立医院高质量发展示范性医院建设，组织专家研究制定示范性医院建设标准，探索我省公立医院高质量发展路径。同时，举办全省推动公立医院高质量发展暨推广三明医改经验培训班，进一步理清医改思路，明确工作重点，形成一批亮点工作和典型经验。湘潭市获批国家公立医院改革与高质量发展示范项目。</w:t>
      </w:r>
      <w:r>
        <w:rPr>
          <w:rFonts w:ascii="Times New Roman" w:hAnsi="Times New Roman" w:eastAsia="仿宋_GB2312"/>
          <w:bCs/>
          <w:color w:val="auto"/>
          <w:sz w:val="32"/>
          <w:szCs w:val="32"/>
          <w:lang w:val="en"/>
        </w:rPr>
        <w:t>积极</w:t>
      </w:r>
      <w:r>
        <w:rPr>
          <w:rFonts w:ascii="Times New Roman" w:hAnsi="Times New Roman" w:eastAsia="仿宋_GB2312"/>
          <w:bCs/>
          <w:color w:val="auto"/>
          <w:sz w:val="32"/>
          <w:szCs w:val="32"/>
        </w:rPr>
        <w:t>推动中南大学湘雅医院委省共建高质量发展试点医院建设。多次协调有关部门，落实委省共建协议的12条支持政策。</w:t>
      </w:r>
      <w:r>
        <w:rPr>
          <w:rFonts w:ascii="Times New Roman" w:hAnsi="Times New Roman" w:eastAsia="仿宋_GB2312"/>
          <w:bCs/>
          <w:color w:val="auto"/>
          <w:kern w:val="0"/>
          <w:sz w:val="32"/>
          <w:szCs w:val="32"/>
        </w:rPr>
        <w:t>联合省委改革办、省政府督查室等部门，深入</w:t>
      </w:r>
      <w:r>
        <w:rPr>
          <w:rFonts w:ascii="Times New Roman" w:hAnsi="Times New Roman" w:eastAsia="仿宋_GB2312"/>
          <w:bCs/>
          <w:color w:val="auto"/>
          <w:kern w:val="0"/>
          <w:sz w:val="32"/>
          <w:szCs w:val="32"/>
          <w:lang w:val="en"/>
        </w:rPr>
        <w:t>挖掘典型经验</w:t>
      </w:r>
      <w:r>
        <w:rPr>
          <w:rFonts w:hint="eastAsia" w:ascii="Times New Roman" w:hAnsi="Times New Roman" w:eastAsia="仿宋_GB2312"/>
          <w:bCs/>
          <w:color w:val="auto"/>
          <w:sz w:val="32"/>
          <w:szCs w:val="32"/>
          <w:lang w:val="en" w:eastAsia="zh-CN"/>
        </w:rPr>
        <w:t>。</w:t>
      </w:r>
    </w:p>
    <w:p>
      <w:pPr>
        <w:pBdr>
          <w:bottom w:val="single" w:color="FFFFFF" w:sz="4" w:space="31"/>
        </w:pBdr>
        <w:tabs>
          <w:tab w:val="left" w:pos="1440"/>
        </w:tabs>
        <w:spacing w:line="240" w:lineRule="auto"/>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5.夯实医疗健康服务基础。</w:t>
      </w:r>
      <w:r>
        <w:rPr>
          <w:rFonts w:hint="default" w:ascii="Times New Roman" w:hAnsi="Times New Roman" w:eastAsia="仿宋_GB2312"/>
          <w:b w:val="0"/>
          <w:bCs/>
          <w:color w:val="auto"/>
          <w:sz w:val="32"/>
          <w:szCs w:val="32"/>
          <w:shd w:val="clear" w:color="auto" w:fill="FFFFFF"/>
          <w:lang w:val="en-US" w:eastAsia="zh-CN"/>
        </w:rPr>
        <w:t>一</w:t>
      </w:r>
      <w:r>
        <w:rPr>
          <w:rFonts w:hint="eastAsia" w:ascii="Times New Roman" w:hAnsi="Times New Roman" w:eastAsia="仿宋_GB2312"/>
          <w:bCs/>
          <w:color w:val="auto"/>
          <w:sz w:val="32"/>
          <w:szCs w:val="32"/>
          <w:shd w:val="clear" w:color="auto" w:fill="FFFFFF"/>
          <w:lang w:val="en-US" w:eastAsia="zh-CN"/>
        </w:rPr>
        <w:t>是</w:t>
      </w:r>
      <w:r>
        <w:rPr>
          <w:rFonts w:ascii="Times New Roman" w:hAnsi="Times New Roman" w:eastAsia="仿宋_GB2312"/>
          <w:b w:val="0"/>
          <w:bCs/>
          <w:color w:val="auto"/>
          <w:sz w:val="32"/>
          <w:szCs w:val="32"/>
          <w:shd w:val="clear" w:color="auto" w:fill="FFFFFF"/>
        </w:rPr>
        <w:t>全面贯彻落实</w:t>
      </w:r>
      <w:r>
        <w:rPr>
          <w:rFonts w:ascii="Times New Roman" w:hAnsi="Times New Roman" w:eastAsia="仿宋_GB2312" w:cs="Times New Roman"/>
          <w:bCs/>
          <w:i w:val="0"/>
          <w:iCs w:val="0"/>
          <w:caps w:val="0"/>
          <w:color w:val="auto"/>
          <w:spacing w:val="0"/>
          <w:sz w:val="32"/>
          <w:szCs w:val="32"/>
        </w:rPr>
        <w:t>国务院联防联控机制综合组发布的</w:t>
      </w:r>
      <w:r>
        <w:rPr>
          <w:rFonts w:hint="eastAsia" w:ascii="仿宋" w:hAnsi="仿宋" w:eastAsia="仿宋" w:cs="仿宋"/>
          <w:bCs/>
          <w:i w:val="0"/>
          <w:iCs w:val="0"/>
          <w:caps w:val="0"/>
          <w:color w:val="auto"/>
          <w:spacing w:val="0"/>
          <w:sz w:val="32"/>
          <w:szCs w:val="32"/>
        </w:rPr>
        <w:t>《</w:t>
      </w:r>
      <w:r>
        <w:rPr>
          <w:rFonts w:ascii="Times New Roman" w:hAnsi="Times New Roman" w:eastAsia="仿宋_GB2312" w:cs="Times New Roman"/>
          <w:bCs/>
          <w:i w:val="0"/>
          <w:iCs w:val="0"/>
          <w:caps w:val="0"/>
          <w:color w:val="auto"/>
          <w:spacing w:val="0"/>
          <w:sz w:val="32"/>
          <w:szCs w:val="32"/>
        </w:rPr>
        <w:t>关于进一步优化落实新冠肺炎疫情防控措施的通知</w:t>
      </w:r>
      <w:r>
        <w:rPr>
          <w:rFonts w:hint="eastAsia" w:ascii="仿宋" w:hAnsi="仿宋" w:eastAsia="仿宋" w:cs="仿宋"/>
          <w:bCs/>
          <w:i w:val="0"/>
          <w:iCs w:val="0"/>
          <w:caps w:val="0"/>
          <w:color w:val="auto"/>
          <w:spacing w:val="0"/>
          <w:sz w:val="32"/>
          <w:szCs w:val="32"/>
        </w:rPr>
        <w:t>》</w:t>
      </w:r>
      <w:r>
        <w:rPr>
          <w:rFonts w:hint="eastAsia" w:ascii="Times New Roman" w:hAnsi="Times New Roman" w:eastAsia="仿宋_GB2312" w:cs="Times New Roman"/>
          <w:bCs/>
          <w:i w:val="0"/>
          <w:iCs w:val="0"/>
          <w:caps w:val="0"/>
          <w:color w:val="auto"/>
          <w:spacing w:val="0"/>
          <w:sz w:val="32"/>
          <w:szCs w:val="32"/>
          <w:lang w:val="en-US" w:eastAsia="zh-CN"/>
        </w:rPr>
        <w:t>要求，</w:t>
      </w:r>
      <w:r>
        <w:rPr>
          <w:rFonts w:ascii="Times New Roman" w:hAnsi="Times New Roman" w:eastAsia="仿宋_GB2312"/>
          <w:bCs/>
          <w:color w:val="auto"/>
          <w:sz w:val="32"/>
          <w:szCs w:val="32"/>
          <w:shd w:val="clear" w:color="auto" w:fill="FFFFFF"/>
        </w:rPr>
        <w:t>迅速扩充医疗救治资源。二级以上医院发热门诊覆盖率由83.7%提升到100%；基层医疗卫生机构发热诊室数量由1373家增加至2563家；二级以上医院扩充床位1.95万张，总床位数达33.4万张，其中重症床位扩充0.7万张，达1.43万张，将14家方舱医院改造为亚定点医院。居民健康卡接入141家互联网医院，累计访问量达130万人次、线上咨询80524人次、在线复诊35608人次、开具电子处方9297张。明确63个三级医院对口包干87个县市，4家部省属医院分片保障全省孕产妇、儿童等特殊人群危急重症救治；制定特殊人群和重症患者救治专家指南，举办5期重症救治培训班</w:t>
      </w:r>
      <w:r>
        <w:rPr>
          <w:rFonts w:hint="eastAsia" w:ascii="Times New Roman" w:hAnsi="Times New Roman" w:eastAsia="仿宋_GB2312"/>
          <w:bCs/>
          <w:color w:val="auto"/>
          <w:sz w:val="32"/>
          <w:szCs w:val="32"/>
          <w:shd w:val="clear" w:color="auto" w:fill="FFFFFF"/>
          <w:lang w:eastAsia="zh-CN"/>
        </w:rPr>
        <w:t>，</w:t>
      </w:r>
      <w:r>
        <w:rPr>
          <w:rFonts w:ascii="Times New Roman" w:hAnsi="Times New Roman" w:eastAsia="仿宋_GB2312"/>
          <w:bCs/>
          <w:color w:val="auto"/>
          <w:sz w:val="32"/>
          <w:szCs w:val="32"/>
          <w:shd w:val="clear" w:color="auto" w:fill="FFFFFF"/>
        </w:rPr>
        <w:t>培训40余万人次。</w:t>
      </w:r>
      <w:r>
        <w:rPr>
          <w:rFonts w:hint="eastAsia" w:ascii="Times New Roman" w:hAnsi="Times New Roman" w:eastAsia="仿宋_GB2312"/>
          <w:bCs/>
          <w:color w:val="auto"/>
          <w:sz w:val="32"/>
          <w:szCs w:val="32"/>
          <w:shd w:val="clear" w:color="auto" w:fill="FFFFFF"/>
          <w:lang w:val="en-US" w:eastAsia="zh-CN"/>
        </w:rPr>
        <w:t>二</w:t>
      </w:r>
      <w:r>
        <w:rPr>
          <w:rFonts w:hint="default" w:ascii="Times New Roman" w:hAnsi="Times New Roman" w:eastAsia="仿宋_GB2312"/>
          <w:bCs/>
          <w:color w:val="auto"/>
          <w:sz w:val="32"/>
          <w:szCs w:val="32"/>
          <w:shd w:val="clear" w:color="auto" w:fill="FFFFFF"/>
          <w:lang w:val="en-US" w:eastAsia="zh-CN"/>
        </w:rPr>
        <w:t>是</w:t>
      </w:r>
      <w:r>
        <w:rPr>
          <w:rFonts w:ascii="Times New Roman" w:hAnsi="Times New Roman" w:eastAsia="仿宋_GB2312"/>
          <w:b w:val="0"/>
          <w:bCs/>
          <w:color w:val="auto"/>
          <w:sz w:val="32"/>
          <w:szCs w:val="32"/>
          <w:shd w:val="clear" w:color="auto" w:fill="FFFFFF"/>
        </w:rPr>
        <w:t>加快优质高效医疗服务体系建设。</w:t>
      </w:r>
      <w:r>
        <w:rPr>
          <w:rFonts w:ascii="Times New Roman" w:hAnsi="Times New Roman" w:eastAsia="仿宋_GB2312"/>
          <w:bCs/>
          <w:color w:val="auto"/>
          <w:sz w:val="32"/>
          <w:szCs w:val="32"/>
          <w:shd w:val="clear" w:color="auto" w:fill="FFFFFF"/>
        </w:rPr>
        <w:t>推进“双中心”建设进程。湘雅二医院被国家</w:t>
      </w:r>
      <w:r>
        <w:rPr>
          <w:rFonts w:hint="eastAsia" w:ascii="Times New Roman" w:hAnsi="Times New Roman" w:eastAsia="仿宋_GB2312"/>
          <w:bCs/>
          <w:color w:val="auto"/>
          <w:sz w:val="32"/>
          <w:szCs w:val="32"/>
          <w:shd w:val="clear" w:color="auto" w:fill="FFFFFF"/>
          <w:lang w:val="en-US" w:eastAsia="zh-CN"/>
        </w:rPr>
        <w:t>卫生健康</w:t>
      </w:r>
      <w:r>
        <w:rPr>
          <w:rFonts w:ascii="Times New Roman" w:hAnsi="Times New Roman" w:eastAsia="仿宋_GB2312"/>
          <w:bCs/>
          <w:color w:val="auto"/>
          <w:sz w:val="32"/>
          <w:szCs w:val="32"/>
          <w:shd w:val="clear" w:color="auto" w:fill="FFFFFF"/>
        </w:rPr>
        <w:t>委确定为国家精神医学中心主体医院，其他各中心达标率均在85%以上。推动优质医疗资源下沉。持续推进城市医疗集团网格化布局，形成了将大医院门诊服务、质控网络、急救网点前移至社区的“三个前移”等经验做法。提升县级医院综合实力。做实城市三级医院对口帮扶县级医院工作，28家县级综合医院达到三级医院水平，80家县级医院被纳入“千县工程”范畴。提升医院急诊急救能力。截</w:t>
      </w:r>
      <w:r>
        <w:rPr>
          <w:rFonts w:hint="eastAsia" w:ascii="Times New Roman" w:hAnsi="Times New Roman" w:eastAsia="仿宋_GB2312"/>
          <w:bCs/>
          <w:color w:val="auto"/>
          <w:sz w:val="32"/>
          <w:szCs w:val="32"/>
          <w:shd w:val="clear" w:color="auto" w:fill="FFFFFF"/>
          <w:lang w:val="en-US" w:eastAsia="zh-CN"/>
        </w:rPr>
        <w:t>至2022年</w:t>
      </w:r>
      <w:r>
        <w:rPr>
          <w:rFonts w:ascii="Times New Roman" w:hAnsi="Times New Roman" w:eastAsia="仿宋_GB2312"/>
          <w:bCs/>
          <w:color w:val="auto"/>
          <w:sz w:val="32"/>
          <w:szCs w:val="32"/>
          <w:shd w:val="clear" w:color="auto" w:fill="FFFFFF"/>
        </w:rPr>
        <w:t>12月底，全省</w:t>
      </w:r>
      <w:r>
        <w:rPr>
          <w:rFonts w:hint="eastAsia" w:ascii="Times New Roman" w:hAnsi="Times New Roman" w:eastAsia="仿宋_GB2312"/>
          <w:bCs/>
          <w:color w:val="auto"/>
          <w:sz w:val="32"/>
          <w:szCs w:val="32"/>
          <w:shd w:val="clear" w:color="auto" w:fill="FFFFFF"/>
          <w:lang w:val="en-US" w:eastAsia="zh-CN"/>
        </w:rPr>
        <w:t>有</w:t>
      </w:r>
      <w:r>
        <w:rPr>
          <w:rFonts w:ascii="Times New Roman" w:hAnsi="Times New Roman" w:eastAsia="仿宋_GB2312"/>
          <w:bCs/>
          <w:color w:val="auto"/>
          <w:sz w:val="32"/>
          <w:szCs w:val="32"/>
          <w:shd w:val="clear" w:color="auto" w:fill="FFFFFF"/>
        </w:rPr>
        <w:t>14家</w:t>
      </w:r>
      <w:r>
        <w:rPr>
          <w:rFonts w:hint="eastAsia" w:ascii="Times New Roman" w:hAnsi="Times New Roman" w:eastAsia="仿宋_GB2312"/>
          <w:bCs/>
          <w:color w:val="auto"/>
          <w:sz w:val="32"/>
          <w:szCs w:val="32"/>
          <w:shd w:val="clear" w:color="auto" w:fill="FFFFFF"/>
          <w:lang w:val="en-US" w:eastAsia="zh-CN"/>
        </w:rPr>
        <w:t>医院</w:t>
      </w:r>
      <w:r>
        <w:rPr>
          <w:rFonts w:ascii="Times New Roman" w:hAnsi="Times New Roman" w:eastAsia="仿宋_GB2312"/>
          <w:bCs/>
          <w:color w:val="auto"/>
          <w:sz w:val="32"/>
          <w:szCs w:val="32"/>
          <w:shd w:val="clear" w:color="auto" w:fill="FFFFFF"/>
        </w:rPr>
        <w:t>通过国家高级卒中中心/综合防治卒中中心</w:t>
      </w:r>
      <w:r>
        <w:rPr>
          <w:rFonts w:hint="eastAsia" w:ascii="Times New Roman" w:hAnsi="Times New Roman" w:eastAsia="仿宋_GB2312"/>
          <w:bCs/>
          <w:color w:val="auto"/>
          <w:sz w:val="32"/>
          <w:szCs w:val="32"/>
          <w:shd w:val="clear" w:color="auto" w:fill="FFFFFF"/>
          <w:lang w:val="en-US" w:eastAsia="zh-CN"/>
        </w:rPr>
        <w:t>认证</w:t>
      </w:r>
      <w:r>
        <w:rPr>
          <w:rFonts w:ascii="Times New Roman" w:hAnsi="Times New Roman" w:eastAsia="仿宋_GB2312"/>
          <w:bCs/>
          <w:color w:val="auto"/>
          <w:sz w:val="32"/>
          <w:szCs w:val="32"/>
          <w:shd w:val="clear" w:color="auto" w:fill="FFFFFF"/>
        </w:rPr>
        <w:t>，70家</w:t>
      </w:r>
      <w:r>
        <w:rPr>
          <w:rFonts w:hint="eastAsia" w:ascii="Times New Roman" w:hAnsi="Times New Roman" w:eastAsia="仿宋_GB2312"/>
          <w:bCs/>
          <w:color w:val="auto"/>
          <w:sz w:val="32"/>
          <w:szCs w:val="32"/>
          <w:shd w:val="clear" w:color="auto" w:fill="FFFFFF"/>
          <w:lang w:val="en-US" w:eastAsia="zh-CN"/>
        </w:rPr>
        <w:t>医院</w:t>
      </w:r>
      <w:r>
        <w:rPr>
          <w:rFonts w:ascii="Times New Roman" w:hAnsi="Times New Roman" w:eastAsia="仿宋_GB2312"/>
          <w:bCs/>
          <w:color w:val="auto"/>
          <w:sz w:val="32"/>
          <w:szCs w:val="32"/>
          <w:shd w:val="clear" w:color="auto" w:fill="FFFFFF"/>
        </w:rPr>
        <w:t>通过国家胸痛中心</w:t>
      </w:r>
      <w:r>
        <w:rPr>
          <w:rFonts w:hint="eastAsia" w:ascii="Times New Roman" w:hAnsi="Times New Roman" w:eastAsia="仿宋_GB2312"/>
          <w:bCs/>
          <w:color w:val="auto"/>
          <w:sz w:val="32"/>
          <w:szCs w:val="32"/>
          <w:shd w:val="clear" w:color="auto" w:fill="FFFFFF"/>
          <w:lang w:val="en-US" w:eastAsia="zh-CN"/>
        </w:rPr>
        <w:t>认证</w:t>
      </w:r>
      <w:r>
        <w:rPr>
          <w:rFonts w:hint="eastAsia" w:ascii="Times New Roman" w:hAnsi="Times New Roman" w:eastAsia="仿宋_GB2312"/>
          <w:bCs/>
          <w:color w:val="auto"/>
          <w:sz w:val="32"/>
          <w:szCs w:val="32"/>
          <w:shd w:val="clear" w:color="auto" w:fill="FFFFFF"/>
          <w:lang w:eastAsia="zh-CN"/>
        </w:rPr>
        <w:t>，</w:t>
      </w:r>
      <w:r>
        <w:rPr>
          <w:rFonts w:ascii="Times New Roman" w:hAnsi="Times New Roman" w:eastAsia="仿宋_GB2312"/>
          <w:bCs/>
          <w:color w:val="auto"/>
          <w:sz w:val="32"/>
          <w:szCs w:val="32"/>
          <w:shd w:val="clear" w:color="auto" w:fill="FFFFFF"/>
        </w:rPr>
        <w:t>113家</w:t>
      </w:r>
      <w:r>
        <w:rPr>
          <w:rFonts w:hint="eastAsia" w:ascii="Times New Roman" w:hAnsi="Times New Roman" w:eastAsia="仿宋_GB2312"/>
          <w:bCs/>
          <w:color w:val="auto"/>
          <w:sz w:val="32"/>
          <w:szCs w:val="32"/>
          <w:shd w:val="clear" w:color="auto" w:fill="FFFFFF"/>
          <w:lang w:val="en-US" w:eastAsia="zh-CN"/>
        </w:rPr>
        <w:t>医院</w:t>
      </w:r>
      <w:r>
        <w:rPr>
          <w:rFonts w:ascii="Times New Roman" w:hAnsi="Times New Roman" w:eastAsia="仿宋_GB2312"/>
          <w:bCs/>
          <w:color w:val="auto"/>
          <w:sz w:val="32"/>
          <w:szCs w:val="32"/>
          <w:shd w:val="clear" w:color="auto" w:fill="FFFFFF"/>
        </w:rPr>
        <w:t>通过湖南卒中联盟认证</w:t>
      </w:r>
      <w:r>
        <w:rPr>
          <w:rFonts w:hint="eastAsia" w:ascii="Times New Roman" w:hAnsi="Times New Roman" w:eastAsia="仿宋_GB2312"/>
          <w:bCs/>
          <w:color w:val="auto"/>
          <w:sz w:val="32"/>
          <w:szCs w:val="32"/>
          <w:shd w:val="clear" w:color="auto" w:fill="FFFFFF"/>
          <w:lang w:eastAsia="zh-CN"/>
        </w:rPr>
        <w:t>，</w:t>
      </w:r>
      <w:r>
        <w:rPr>
          <w:rFonts w:ascii="Times New Roman" w:hAnsi="Times New Roman" w:eastAsia="仿宋_GB2312"/>
          <w:bCs/>
          <w:color w:val="auto"/>
          <w:sz w:val="32"/>
          <w:szCs w:val="32"/>
          <w:shd w:val="clear" w:color="auto" w:fill="FFFFFF"/>
        </w:rPr>
        <w:t>1家医院</w:t>
      </w:r>
      <w:r>
        <w:rPr>
          <w:rFonts w:hint="eastAsia" w:ascii="Times New Roman" w:hAnsi="Times New Roman" w:eastAsia="仿宋_GB2312"/>
          <w:bCs/>
          <w:color w:val="auto"/>
          <w:sz w:val="32"/>
          <w:szCs w:val="32"/>
          <w:shd w:val="clear" w:color="auto" w:fill="FFFFFF"/>
          <w:lang w:val="en-US" w:eastAsia="zh-CN"/>
        </w:rPr>
        <w:t>通过</w:t>
      </w:r>
      <w:r>
        <w:rPr>
          <w:rFonts w:ascii="Times New Roman" w:hAnsi="Times New Roman" w:eastAsia="仿宋_GB2312"/>
          <w:bCs/>
          <w:color w:val="auto"/>
          <w:sz w:val="32"/>
          <w:szCs w:val="32"/>
          <w:shd w:val="clear" w:color="auto" w:fill="FFFFFF"/>
        </w:rPr>
        <w:t>国家高级卒中中心建设</w:t>
      </w:r>
      <w:r>
        <w:rPr>
          <w:rFonts w:hint="eastAsia" w:ascii="Times New Roman" w:hAnsi="Times New Roman" w:eastAsia="仿宋_GB2312"/>
          <w:bCs/>
          <w:color w:val="auto"/>
          <w:sz w:val="32"/>
          <w:szCs w:val="32"/>
          <w:shd w:val="clear" w:color="auto" w:fill="FFFFFF"/>
          <w:lang w:eastAsia="zh-CN"/>
        </w:rPr>
        <w:t>。</w:t>
      </w:r>
      <w:r>
        <w:rPr>
          <w:rFonts w:hint="eastAsia" w:ascii="Times New Roman" w:hAnsi="Times New Roman" w:eastAsia="仿宋_GB2312"/>
          <w:b w:val="0"/>
          <w:bCs/>
          <w:color w:val="auto"/>
          <w:sz w:val="32"/>
          <w:szCs w:val="32"/>
          <w:shd w:val="clear" w:color="auto" w:fill="FFFFFF"/>
          <w:lang w:val="en-US" w:eastAsia="zh-CN"/>
        </w:rPr>
        <w:t>三</w:t>
      </w:r>
      <w:r>
        <w:rPr>
          <w:rFonts w:hint="default" w:ascii="Times New Roman" w:hAnsi="Times New Roman" w:eastAsia="仿宋_GB2312"/>
          <w:b w:val="0"/>
          <w:bCs/>
          <w:color w:val="auto"/>
          <w:sz w:val="32"/>
          <w:szCs w:val="32"/>
          <w:shd w:val="clear" w:color="auto" w:fill="FFFFFF"/>
          <w:lang w:val="en-US" w:eastAsia="zh-CN"/>
        </w:rPr>
        <w:t>是</w:t>
      </w:r>
      <w:r>
        <w:rPr>
          <w:rFonts w:ascii="Times New Roman" w:hAnsi="Times New Roman" w:eastAsia="仿宋_GB2312"/>
          <w:b w:val="0"/>
          <w:bCs/>
          <w:color w:val="auto"/>
          <w:sz w:val="32"/>
          <w:szCs w:val="32"/>
          <w:shd w:val="clear" w:color="auto" w:fill="FFFFFF"/>
        </w:rPr>
        <w:t>全面夯实医疗质量安全管理。</w:t>
      </w:r>
      <w:r>
        <w:rPr>
          <w:rFonts w:ascii="Times New Roman" w:hAnsi="Times New Roman" w:eastAsia="仿宋_GB2312"/>
          <w:bCs/>
          <w:color w:val="auto"/>
          <w:sz w:val="32"/>
          <w:szCs w:val="32"/>
          <w:shd w:val="clear" w:color="auto" w:fill="FFFFFF"/>
        </w:rPr>
        <w:t>加强医院等级评审管理。制定《三级医院评审标准（湖南省2022版）实施细则》。夯实基础医疗质量。开展4期三基考试考核，参考人数超过50万人次，举办湖南省首届医院质量大会。健全完善医疗质量控制体系。持续推动省级质控体系建设，院感、合理用药等质控网络全面延伸至基层医疗卫生机构。健全临床路径管理体系</w:t>
      </w:r>
      <w:r>
        <w:rPr>
          <w:rFonts w:hint="eastAsia" w:ascii="Times New Roman" w:hAnsi="Times New Roman" w:eastAsia="仿宋_GB2312"/>
          <w:bCs/>
          <w:color w:val="auto"/>
          <w:sz w:val="32"/>
          <w:szCs w:val="32"/>
          <w:shd w:val="clear" w:color="auto" w:fill="FFFFFF"/>
          <w:lang w:eastAsia="zh-CN"/>
        </w:rPr>
        <w:t>，</w:t>
      </w:r>
      <w:r>
        <w:rPr>
          <w:rFonts w:ascii="Times New Roman" w:hAnsi="Times New Roman" w:eastAsia="仿宋_GB2312"/>
          <w:bCs/>
          <w:color w:val="auto"/>
          <w:sz w:val="32"/>
          <w:szCs w:val="32"/>
          <w:shd w:val="clear" w:color="auto" w:fill="FFFFFF"/>
        </w:rPr>
        <w:t>制（修）订发布省级临床路径248个，进一步完善各病种临床路径，优化诊疗流程。从严从实加强行业监管</w:t>
      </w:r>
      <w:r>
        <w:rPr>
          <w:rFonts w:hint="eastAsia" w:ascii="Times New Roman" w:hAnsi="Times New Roman" w:eastAsia="仿宋_GB2312"/>
          <w:bCs/>
          <w:color w:val="auto"/>
          <w:sz w:val="32"/>
          <w:szCs w:val="32"/>
          <w:shd w:val="clear" w:color="auto" w:fill="FFFFFF"/>
          <w:lang w:eastAsia="zh-CN"/>
        </w:rPr>
        <w:t>，</w:t>
      </w:r>
      <w:r>
        <w:rPr>
          <w:rFonts w:ascii="Times New Roman" w:hAnsi="Times New Roman" w:eastAsia="仿宋_GB2312"/>
          <w:bCs/>
          <w:color w:val="auto"/>
          <w:sz w:val="32"/>
          <w:szCs w:val="32"/>
          <w:shd w:val="clear" w:color="auto" w:fill="FFFFFF"/>
        </w:rPr>
        <w:t>开展医疗安全与行风管理突出问题排查整治专项行动，印发“七条禁令”等多个规范性文件，推进清廉医院建设。</w:t>
      </w:r>
    </w:p>
    <w:p>
      <w:pPr>
        <w:pBdr>
          <w:bottom w:val="single" w:color="FFFFFF" w:sz="4" w:space="31"/>
        </w:pBdr>
        <w:tabs>
          <w:tab w:val="left" w:pos="1440"/>
        </w:tabs>
        <w:overflowPunct/>
        <w:topLinePunct w:val="0"/>
        <w:adjustRightInd/>
        <w:spacing w:line="240" w:lineRule="auto"/>
        <w:ind w:firstLine="640" w:firstLineChars="200"/>
        <w:jc w:val="left"/>
        <w:rPr>
          <w:rFonts w:ascii="Times New Roman" w:hAnsi="Times New Roman" w:eastAsia="仿宋_GB2312"/>
          <w:bCs/>
          <w:color w:val="auto"/>
          <w:sz w:val="32"/>
          <w:szCs w:val="32"/>
        </w:rPr>
      </w:pPr>
      <w:r>
        <w:rPr>
          <w:rFonts w:hint="eastAsia" w:ascii="仿宋_GB2312" w:hAnsi="仿宋_GB2312" w:eastAsia="仿宋_GB2312" w:cs="仿宋_GB2312"/>
          <w:b w:val="0"/>
          <w:bCs/>
          <w:color w:val="auto"/>
          <w:sz w:val="32"/>
          <w:szCs w:val="32"/>
        </w:rPr>
        <w:t>6.</w:t>
      </w:r>
      <w:r>
        <w:rPr>
          <w:rFonts w:hint="eastAsia" w:ascii="仿宋_GB2312" w:hAnsi="仿宋_GB2312" w:eastAsia="仿宋_GB2312" w:cs="仿宋_GB2312"/>
          <w:b w:val="0"/>
          <w:bCs/>
          <w:color w:val="auto"/>
          <w:sz w:val="32"/>
          <w:szCs w:val="32"/>
          <w:lang w:val="en-US" w:eastAsia="zh-CN"/>
        </w:rPr>
        <w:t>推进</w:t>
      </w:r>
      <w:r>
        <w:rPr>
          <w:rFonts w:hint="eastAsia" w:ascii="仿宋_GB2312" w:hAnsi="仿宋_GB2312" w:eastAsia="仿宋_GB2312" w:cs="仿宋_GB2312"/>
          <w:b w:val="0"/>
          <w:bCs/>
          <w:color w:val="auto"/>
          <w:sz w:val="32"/>
          <w:szCs w:val="32"/>
        </w:rPr>
        <w:t>优化生育政策落地</w:t>
      </w:r>
      <w:r>
        <w:rPr>
          <w:rFonts w:hint="eastAsia" w:ascii="仿宋_GB2312" w:hAnsi="仿宋_GB2312" w:eastAsia="仿宋_GB2312" w:cs="仿宋_GB2312"/>
          <w:b w:val="0"/>
          <w:bCs/>
          <w:color w:val="auto"/>
          <w:sz w:val="32"/>
          <w:szCs w:val="32"/>
          <w:lang w:eastAsia="zh-CN"/>
        </w:rPr>
        <w:t>。</w:t>
      </w:r>
      <w:r>
        <w:rPr>
          <w:rFonts w:ascii="Times New Roman" w:hAnsi="Times New Roman" w:eastAsia="仿宋_GB2312"/>
          <w:b w:val="0"/>
          <w:bCs/>
          <w:color w:val="auto"/>
          <w:sz w:val="32"/>
          <w:szCs w:val="32"/>
        </w:rPr>
        <w:t>一是加强顶层设计</w:t>
      </w:r>
      <w:r>
        <w:rPr>
          <w:rFonts w:ascii="Times New Roman" w:hAnsi="Times New Roman" w:eastAsia="仿宋_GB2312"/>
          <w:bCs/>
          <w:color w:val="auto"/>
          <w:sz w:val="32"/>
          <w:szCs w:val="32"/>
        </w:rPr>
        <w:t>。</w:t>
      </w:r>
      <w:r>
        <w:rPr>
          <w:rFonts w:ascii="Times New Roman" w:hAnsi="Times New Roman" w:eastAsia="仿宋_GB2312"/>
          <w:b w:val="0"/>
          <w:bCs/>
          <w:color w:val="auto"/>
          <w:kern w:val="2"/>
          <w:sz w:val="32"/>
          <w:szCs w:val="32"/>
        </w:rPr>
        <w:t>起草并推动出台</w:t>
      </w:r>
      <w:r>
        <w:rPr>
          <w:rFonts w:ascii="Times New Roman" w:hAnsi="Times New Roman" w:eastAsia="仿宋_GB2312"/>
          <w:b w:val="0"/>
          <w:bCs/>
          <w:color w:val="auto"/>
          <w:kern w:val="2"/>
          <w:sz w:val="32"/>
          <w:szCs w:val="32"/>
          <w:lang w:bidi="ar-SA"/>
        </w:rPr>
        <w:t>《中共湖南省委 湖南省人民政府</w:t>
      </w:r>
      <w:r>
        <w:rPr>
          <w:rFonts w:hint="default" w:ascii="Times New Roman" w:hAnsi="Times New Roman" w:eastAsia="仿宋_GB2312"/>
          <w:b w:val="0"/>
          <w:bCs/>
          <w:color w:val="auto"/>
          <w:kern w:val="2"/>
          <w:sz w:val="32"/>
          <w:szCs w:val="32"/>
          <w:lang w:eastAsia="zh-CN" w:bidi="ar-SA"/>
        </w:rPr>
        <w:t>印发</w:t>
      </w:r>
      <w:r>
        <w:rPr>
          <w:rFonts w:hint="default" w:ascii="Times New Roman" w:hAnsi="Times New Roman" w:eastAsia="仿宋_GB2312" w:cs="Times New Roman"/>
          <w:b w:val="0"/>
          <w:bCs/>
          <w:color w:val="auto"/>
          <w:kern w:val="2"/>
          <w:sz w:val="32"/>
          <w:szCs w:val="32"/>
          <w:lang w:eastAsia="zh-CN" w:bidi="ar-SA"/>
        </w:rPr>
        <w:t>〈</w:t>
      </w:r>
      <w:r>
        <w:rPr>
          <w:rFonts w:ascii="Times New Roman" w:hAnsi="Times New Roman" w:eastAsia="仿宋_GB2312"/>
          <w:b w:val="0"/>
          <w:bCs/>
          <w:color w:val="auto"/>
          <w:kern w:val="2"/>
          <w:sz w:val="32"/>
          <w:szCs w:val="32"/>
          <w:lang w:bidi="ar-SA"/>
        </w:rPr>
        <w:t>关于优化生育</w:t>
      </w:r>
      <w:r>
        <w:rPr>
          <w:rFonts w:ascii="Times New Roman" w:hAnsi="Times New Roman" w:eastAsia="仿宋_GB2312"/>
          <w:b w:val="0"/>
          <w:bCs/>
          <w:color w:val="auto"/>
          <w:kern w:val="2"/>
          <w:sz w:val="32"/>
          <w:szCs w:val="32"/>
        </w:rPr>
        <w:t>政策促进人口长期均衡发展的实施方案</w:t>
      </w:r>
      <w:r>
        <w:rPr>
          <w:rFonts w:hint="default" w:ascii="Times New Roman" w:hAnsi="Times New Roman" w:eastAsia="仿宋_GB2312" w:cs="Times New Roman"/>
          <w:b w:val="0"/>
          <w:bCs/>
          <w:color w:val="auto"/>
          <w:kern w:val="2"/>
          <w:sz w:val="32"/>
          <w:szCs w:val="32"/>
          <w:lang w:eastAsia="zh-CN" w:bidi="ar-SA"/>
        </w:rPr>
        <w:t>〉的通知</w:t>
      </w:r>
      <w:r>
        <w:rPr>
          <w:rFonts w:ascii="Times New Roman" w:hAnsi="Times New Roman" w:eastAsia="仿宋_GB2312"/>
          <w:b w:val="0"/>
          <w:bCs/>
          <w:color w:val="auto"/>
          <w:kern w:val="2"/>
          <w:sz w:val="32"/>
          <w:szCs w:val="32"/>
        </w:rPr>
        <w:t>》</w:t>
      </w:r>
      <w:r>
        <w:rPr>
          <w:rFonts w:hint="default" w:ascii="Times New Roman" w:hAnsi="Times New Roman" w:eastAsia="仿宋_GB2312"/>
          <w:b w:val="0"/>
          <w:bCs/>
          <w:color w:val="auto"/>
          <w:kern w:val="2"/>
          <w:sz w:val="32"/>
          <w:szCs w:val="32"/>
          <w:lang w:eastAsia="zh-CN"/>
        </w:rPr>
        <w:t>（</w:t>
      </w:r>
      <w:r>
        <w:rPr>
          <w:rFonts w:hint="default" w:ascii="Times New Roman" w:hAnsi="Times New Roman" w:eastAsia="仿宋_GB2312"/>
          <w:b w:val="0"/>
          <w:bCs/>
          <w:color w:val="auto"/>
          <w:kern w:val="2"/>
          <w:sz w:val="32"/>
          <w:szCs w:val="32"/>
          <w:lang w:val="en-US" w:eastAsia="zh-CN"/>
        </w:rPr>
        <w:t>湘发</w:t>
      </w:r>
      <w:r>
        <w:rPr>
          <w:rFonts w:hint="default" w:ascii="Times New Roman" w:hAnsi="Times New Roman" w:eastAsia="仿宋_GB2312" w:cs="Times New Roman"/>
          <w:b w:val="0"/>
          <w:bCs/>
          <w:color w:val="auto"/>
          <w:kern w:val="2"/>
          <w:sz w:val="32"/>
          <w:szCs w:val="32"/>
          <w:lang w:val="en-US" w:eastAsia="zh-CN"/>
        </w:rPr>
        <w:t>〔</w:t>
      </w:r>
      <w:r>
        <w:rPr>
          <w:rFonts w:hint="default" w:ascii="Times New Roman" w:hAnsi="Times New Roman" w:eastAsia="仿宋_GB2312"/>
          <w:b w:val="0"/>
          <w:bCs/>
          <w:color w:val="auto"/>
          <w:kern w:val="2"/>
          <w:sz w:val="32"/>
          <w:szCs w:val="32"/>
          <w:lang w:val="en-US" w:eastAsia="zh-CN"/>
        </w:rPr>
        <w:t>2022</w:t>
      </w:r>
      <w:r>
        <w:rPr>
          <w:rFonts w:hint="default" w:ascii="Times New Roman" w:hAnsi="Times New Roman" w:eastAsia="仿宋_GB2312" w:cs="Times New Roman"/>
          <w:b w:val="0"/>
          <w:bCs/>
          <w:color w:val="auto"/>
          <w:kern w:val="2"/>
          <w:sz w:val="32"/>
          <w:szCs w:val="32"/>
          <w:lang w:val="en-US" w:eastAsia="zh-CN"/>
        </w:rPr>
        <w:t>〕</w:t>
      </w:r>
      <w:r>
        <w:rPr>
          <w:rFonts w:hint="default" w:ascii="Times New Roman" w:hAnsi="Times New Roman" w:eastAsia="仿宋_GB2312"/>
          <w:b w:val="0"/>
          <w:bCs/>
          <w:color w:val="auto"/>
          <w:kern w:val="2"/>
          <w:sz w:val="32"/>
          <w:szCs w:val="32"/>
          <w:lang w:val="en-US" w:eastAsia="zh-CN"/>
        </w:rPr>
        <w:t>11号）</w:t>
      </w:r>
      <w:r>
        <w:rPr>
          <w:rFonts w:ascii="Times New Roman" w:hAnsi="Times New Roman" w:eastAsia="仿宋_GB2312"/>
          <w:b w:val="0"/>
          <w:bCs/>
          <w:color w:val="auto"/>
          <w:kern w:val="2"/>
          <w:sz w:val="32"/>
          <w:szCs w:val="32"/>
        </w:rPr>
        <w:t>，制定《湖南省人口与计划生育条例应用解释》</w:t>
      </w:r>
      <w:r>
        <w:rPr>
          <w:rFonts w:hint="default" w:ascii="Times New Roman" w:hAnsi="Times New Roman" w:eastAsia="仿宋_GB2312"/>
          <w:b w:val="0"/>
          <w:bCs/>
          <w:color w:val="auto"/>
          <w:kern w:val="2"/>
          <w:sz w:val="32"/>
          <w:szCs w:val="32"/>
          <w:lang w:eastAsia="zh-CN"/>
        </w:rPr>
        <w:t>（</w:t>
      </w:r>
      <w:r>
        <w:rPr>
          <w:rFonts w:hint="default" w:ascii="Times New Roman" w:hAnsi="Times New Roman" w:eastAsia="仿宋_GB2312"/>
          <w:b w:val="0"/>
          <w:bCs/>
          <w:color w:val="auto"/>
          <w:kern w:val="2"/>
          <w:sz w:val="32"/>
          <w:szCs w:val="32"/>
          <w:lang w:val="en-US" w:eastAsia="zh-CN"/>
        </w:rPr>
        <w:t>2021版）</w:t>
      </w:r>
      <w:r>
        <w:rPr>
          <w:rFonts w:ascii="Times New Roman" w:hAnsi="Times New Roman" w:eastAsia="仿宋_GB2312"/>
          <w:b w:val="0"/>
          <w:bCs/>
          <w:color w:val="auto"/>
          <w:kern w:val="2"/>
          <w:sz w:val="32"/>
          <w:szCs w:val="32"/>
        </w:rPr>
        <w:t>，联合省</w:t>
      </w:r>
      <w:r>
        <w:rPr>
          <w:rFonts w:hint="default" w:ascii="Times New Roman" w:hAnsi="Times New Roman" w:eastAsia="仿宋_GB2312"/>
          <w:b w:val="0"/>
          <w:bCs/>
          <w:color w:val="auto"/>
          <w:kern w:val="2"/>
          <w:sz w:val="32"/>
          <w:szCs w:val="32"/>
          <w:lang w:val="en-US" w:eastAsia="zh-CN"/>
        </w:rPr>
        <w:t>委</w:t>
      </w:r>
      <w:r>
        <w:rPr>
          <w:rFonts w:ascii="Times New Roman" w:hAnsi="Times New Roman" w:eastAsia="仿宋_GB2312"/>
          <w:b w:val="0"/>
          <w:bCs/>
          <w:color w:val="auto"/>
          <w:kern w:val="2"/>
          <w:sz w:val="32"/>
          <w:szCs w:val="32"/>
        </w:rPr>
        <w:t>编办等4部门下发规范托育机构注册登记、备案管理、机构设置等规范性文件。二是积极宣传引导。制定优化生育政策宣传方案，推广普及三孩生育政策，营造生育友好社会氛围。在益阳、常德等地组织</w:t>
      </w:r>
      <w:r>
        <w:rPr>
          <w:rFonts w:hint="eastAsia" w:ascii="Times New Roman" w:hAnsi="Times New Roman" w:eastAsia="仿宋_GB2312"/>
          <w:b w:val="0"/>
          <w:bCs/>
          <w:color w:val="auto"/>
          <w:kern w:val="2"/>
          <w:sz w:val="32"/>
          <w:szCs w:val="32"/>
          <w:lang w:val="en-US" w:eastAsia="zh-CN"/>
        </w:rPr>
        <w:t>开展《</w:t>
      </w:r>
      <w:r>
        <w:rPr>
          <w:rFonts w:hint="default" w:ascii="Times New Roman" w:hAnsi="Times New Roman" w:eastAsia="仿宋_GB2312" w:cs="Times New Roman"/>
          <w:b w:val="0"/>
          <w:bCs/>
          <w:i w:val="0"/>
          <w:iCs w:val="0"/>
          <w:caps w:val="0"/>
          <w:color w:val="auto"/>
          <w:spacing w:val="0"/>
          <w:kern w:val="2"/>
          <w:sz w:val="32"/>
          <w:szCs w:val="32"/>
          <w:shd w:val="clear"/>
        </w:rPr>
        <w:t>中共中央 国务院关于优化生育政策促进人口长期均衡发展的决定</w:t>
      </w:r>
      <w:r>
        <w:rPr>
          <w:rFonts w:hint="eastAsia" w:ascii="Times New Roman" w:hAnsi="Times New Roman" w:eastAsia="仿宋_GB2312"/>
          <w:b w:val="0"/>
          <w:bCs/>
          <w:color w:val="auto"/>
          <w:kern w:val="2"/>
          <w:sz w:val="32"/>
          <w:szCs w:val="32"/>
          <w:lang w:val="en-US" w:eastAsia="zh-CN"/>
        </w:rPr>
        <w:t>》</w:t>
      </w:r>
      <w:r>
        <w:rPr>
          <w:rFonts w:ascii="Times New Roman" w:hAnsi="Times New Roman" w:eastAsia="仿宋_GB2312"/>
          <w:bCs/>
          <w:color w:val="auto"/>
          <w:sz w:val="32"/>
          <w:szCs w:val="32"/>
        </w:rPr>
        <w:t>集中宣传活动，依托学习强国</w:t>
      </w:r>
      <w:r>
        <w:rPr>
          <w:rFonts w:hint="eastAsia" w:ascii="Times New Roman" w:hAnsi="Times New Roman" w:eastAsia="仿宋_GB2312"/>
          <w:bCs/>
          <w:color w:val="auto"/>
          <w:sz w:val="32"/>
          <w:szCs w:val="32"/>
          <w:lang w:val="en-US" w:eastAsia="zh-CN"/>
        </w:rPr>
        <w:t>平台</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湖南日报等广泛宣传我省优化生育措施。赴益阳、娄底、永州、郴州等地实地调研，督促各地制定本地优化生育政策工作方案。</w:t>
      </w:r>
      <w:r>
        <w:rPr>
          <w:rFonts w:ascii="Times New Roman" w:hAnsi="Times New Roman" w:eastAsia="仿宋_GB2312"/>
          <w:b w:val="0"/>
          <w:bCs/>
          <w:color w:val="auto"/>
          <w:sz w:val="32"/>
          <w:szCs w:val="32"/>
        </w:rPr>
        <w:t>三是回应社会关切。</w:t>
      </w:r>
      <w:r>
        <w:rPr>
          <w:rFonts w:ascii="Times New Roman" w:hAnsi="Times New Roman" w:eastAsia="仿宋_GB2312"/>
          <w:bCs/>
          <w:color w:val="auto"/>
          <w:sz w:val="32"/>
          <w:szCs w:val="32"/>
        </w:rPr>
        <w:t>全年共清理不适应现行生育政策的相关法规、规章、规范性文件439个。落实入学、入职、入户与个人生育全面脱钩，依法妥善处理历史遗留问题。</w:t>
      </w:r>
      <w:r>
        <w:rPr>
          <w:rFonts w:hint="default" w:ascii="Times New Roman" w:hAnsi="Times New Roman" w:eastAsia="仿宋_GB2312"/>
          <w:bCs/>
          <w:color w:val="auto"/>
          <w:sz w:val="32"/>
          <w:szCs w:val="32"/>
          <w:lang w:val="en-US" w:eastAsia="zh-CN"/>
        </w:rPr>
        <w:t>四</w:t>
      </w:r>
      <w:r>
        <w:rPr>
          <w:rFonts w:ascii="Times New Roman" w:hAnsi="Times New Roman" w:eastAsia="仿宋_GB2312"/>
          <w:b w:val="0"/>
          <w:bCs/>
          <w:color w:val="auto"/>
          <w:sz w:val="32"/>
          <w:szCs w:val="32"/>
        </w:rPr>
        <w:t>是发展普惠托育。</w:t>
      </w:r>
      <w:r>
        <w:rPr>
          <w:rFonts w:ascii="Times New Roman" w:hAnsi="Times New Roman" w:eastAsia="仿宋_GB2312"/>
          <w:bCs/>
          <w:color w:val="auto"/>
          <w:sz w:val="32"/>
          <w:szCs w:val="32"/>
        </w:rPr>
        <w:t>争取中央预算内投资4136万元，支持普惠托育项目47个，新增普惠托位0.41万个。指导长沙市参加第一轮全国婴幼儿照护示范城市评选。推动有条件的幼儿园向下延伸招收2至3岁幼儿。推进用人单位办托育，联合省总工会推荐8家托育机构创建全国爱心托育用人单位</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联合</w:t>
      </w:r>
      <w:r>
        <w:rPr>
          <w:rFonts w:hint="eastAsia" w:ascii="Times New Roman" w:hAnsi="Times New Roman" w:eastAsia="仿宋_GB2312"/>
          <w:bCs/>
          <w:color w:val="auto"/>
          <w:sz w:val="32"/>
          <w:szCs w:val="32"/>
          <w:lang w:val="en-US" w:eastAsia="zh-CN"/>
        </w:rPr>
        <w:t>各级</w:t>
      </w:r>
      <w:r>
        <w:rPr>
          <w:rFonts w:ascii="Times New Roman" w:hAnsi="Times New Roman" w:eastAsia="仿宋_GB2312"/>
          <w:bCs/>
          <w:color w:val="auto"/>
          <w:sz w:val="32"/>
          <w:szCs w:val="32"/>
        </w:rPr>
        <w:t>计生协实施“向日葵计划”等农村普惠托育项目，共支持建立托育点273个。</w:t>
      </w:r>
      <w:r>
        <w:rPr>
          <w:rFonts w:hint="default" w:ascii="Times New Roman" w:hAnsi="Times New Roman" w:eastAsia="仿宋_GB2312"/>
          <w:b w:val="0"/>
          <w:bCs/>
          <w:color w:val="auto"/>
          <w:sz w:val="32"/>
          <w:szCs w:val="32"/>
          <w:lang w:val="en-US" w:eastAsia="zh-CN"/>
        </w:rPr>
        <w:t>五是</w:t>
      </w:r>
      <w:r>
        <w:rPr>
          <w:rFonts w:ascii="Times New Roman" w:hAnsi="Times New Roman" w:eastAsia="仿宋_GB2312"/>
          <w:b w:val="0"/>
          <w:bCs/>
          <w:color w:val="auto"/>
          <w:sz w:val="32"/>
          <w:szCs w:val="32"/>
        </w:rPr>
        <w:t>落实帮扶措施</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全年发放奖励和扶助等4类资金30.31亿元，惠及272.32万人。建成并运行全省计生家庭扶助保障智能信息系统。以落实计生特殊家庭联系人制度、就医“绿色通道”、家庭医生签约服务为抓手，会同各级计生协全面推进计生特殊家庭帮扶工作，双岗联系人到位率100%，家庭医生签约率99.4%，提供优先就诊服务医疗机构800余家，为计生特殊家庭发放护理补贴或购买综合保险5105万元。</w:t>
      </w:r>
    </w:p>
    <w:p>
      <w:pPr>
        <w:numPr>
          <w:ilvl w:val="255"/>
          <w:numId w:val="0"/>
        </w:numPr>
        <w:pBdr>
          <w:bottom w:val="single" w:color="FFFFFF" w:sz="4" w:space="31"/>
        </w:pBdr>
        <w:tabs>
          <w:tab w:val="left" w:pos="1440"/>
        </w:tabs>
        <w:spacing w:line="360" w:lineRule="auto"/>
        <w:ind w:firstLine="640" w:firstLineChars="200"/>
        <w:rPr>
          <w:rFonts w:ascii="楷体" w:hAnsi="楷体" w:eastAsia="楷体" w:cs="方正楷体_GBK"/>
          <w:bCs/>
          <w:color w:val="auto"/>
          <w:sz w:val="32"/>
          <w:szCs w:val="32"/>
        </w:rPr>
      </w:pPr>
      <w:r>
        <w:rPr>
          <w:rFonts w:ascii="楷体" w:hAnsi="楷体" w:eastAsia="楷体" w:cs="方正楷体_GBK"/>
          <w:bCs/>
          <w:color w:val="auto"/>
          <w:sz w:val="32"/>
          <w:szCs w:val="32"/>
        </w:rPr>
        <w:t>（二）依申请公开</w:t>
      </w:r>
    </w:p>
    <w:p>
      <w:pPr>
        <w:pBdr>
          <w:bottom w:val="single" w:color="FFFFFF" w:sz="4" w:space="31"/>
        </w:pBdr>
        <w:tabs>
          <w:tab w:val="left" w:pos="1440"/>
        </w:tabs>
        <w:adjustRightInd w:val="0"/>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为方便公众查询和申请信息公开，在</w:t>
      </w:r>
      <w:r>
        <w:rPr>
          <w:rFonts w:hint="eastAsia" w:ascii="Times New Roman" w:hAnsi="Times New Roman" w:eastAsia="仿宋_GB2312"/>
          <w:color w:val="auto"/>
          <w:sz w:val="32"/>
          <w:szCs w:val="32"/>
          <w:lang w:eastAsia="zh-CN"/>
        </w:rPr>
        <w:t>委</w:t>
      </w:r>
      <w:r>
        <w:rPr>
          <w:rFonts w:hint="eastAsia" w:ascii="Times New Roman" w:hAnsi="Times New Roman" w:eastAsia="仿宋_GB2312"/>
          <w:color w:val="auto"/>
          <w:sz w:val="32"/>
          <w:szCs w:val="32"/>
          <w:lang w:val="en-US" w:eastAsia="zh-CN"/>
        </w:rPr>
        <w:t>官方</w:t>
      </w:r>
      <w:r>
        <w:rPr>
          <w:rFonts w:ascii="Times New Roman" w:hAnsi="Times New Roman" w:eastAsia="仿宋_GB2312"/>
          <w:color w:val="auto"/>
          <w:sz w:val="32"/>
          <w:szCs w:val="32"/>
        </w:rPr>
        <w:t>网站首页专门设立了政务公开专栏，并将依申请公开专栏置于网站首页醒目位置。严格按照依申请公开的管理规定和信息公开保密审查制度，进一步明确依申请公开信息工作的受理机构、工作规程，并对受理、审查、处理和答复作出具体规定，有效保障了申请人的合法权益。</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年共受理依申请公开</w:t>
      </w:r>
      <w:r>
        <w:rPr>
          <w:rFonts w:hint="eastAsia" w:ascii="Times New Roman" w:hAnsi="Times New Roman" w:eastAsia="仿宋_GB2312"/>
          <w:color w:val="auto"/>
          <w:sz w:val="32"/>
          <w:szCs w:val="32"/>
          <w:lang w:val="en-US" w:eastAsia="zh-CN"/>
        </w:rPr>
        <w:t>144</w:t>
      </w:r>
      <w:r>
        <w:rPr>
          <w:rFonts w:ascii="Times New Roman" w:hAnsi="Times New Roman" w:eastAsia="仿宋_GB2312"/>
          <w:color w:val="auto"/>
          <w:sz w:val="32"/>
          <w:szCs w:val="32"/>
        </w:rPr>
        <w:t>件，</w:t>
      </w:r>
      <w:r>
        <w:rPr>
          <w:rFonts w:hint="eastAsia" w:ascii="Times New Roman" w:hAnsi="Times New Roman" w:eastAsia="仿宋_GB2312"/>
          <w:color w:val="auto"/>
          <w:sz w:val="32"/>
          <w:szCs w:val="32"/>
          <w:lang w:val="en-US" w:eastAsia="zh-CN"/>
        </w:rPr>
        <w:t>并予以办理</w:t>
      </w:r>
      <w:r>
        <w:rPr>
          <w:rFonts w:hint="eastAsia" w:ascii="Times New Roman" w:hAnsi="Times New Roman" w:eastAsia="仿宋_GB2312"/>
          <w:color w:val="auto"/>
          <w:sz w:val="32"/>
          <w:szCs w:val="32"/>
        </w:rPr>
        <w:t>。</w:t>
      </w:r>
    </w:p>
    <w:p>
      <w:pPr>
        <w:numPr>
          <w:ilvl w:val="255"/>
          <w:numId w:val="0"/>
        </w:numPr>
        <w:pBdr>
          <w:bottom w:val="single" w:color="FFFFFF" w:sz="4" w:space="31"/>
        </w:pBdr>
        <w:tabs>
          <w:tab w:val="left" w:pos="1440"/>
        </w:tabs>
        <w:spacing w:line="360" w:lineRule="auto"/>
        <w:ind w:firstLine="640" w:firstLineChars="200"/>
        <w:rPr>
          <w:rFonts w:ascii="楷体" w:hAnsi="楷体" w:eastAsia="楷体" w:cs="方正楷体_GBK"/>
          <w:bCs/>
          <w:color w:val="auto"/>
          <w:sz w:val="32"/>
          <w:szCs w:val="32"/>
        </w:rPr>
      </w:pPr>
      <w:r>
        <w:rPr>
          <w:rFonts w:hint="eastAsia" w:ascii="楷体" w:hAnsi="楷体" w:eastAsia="楷体" w:cs="方正楷体_GBK"/>
          <w:bCs/>
          <w:color w:val="auto"/>
          <w:sz w:val="32"/>
          <w:szCs w:val="32"/>
        </w:rPr>
        <w:t>（三）政府信息管理</w:t>
      </w:r>
    </w:p>
    <w:p>
      <w:pPr>
        <w:pBdr>
          <w:bottom w:val="single" w:color="FFFFFF" w:sz="4" w:space="31"/>
        </w:pBdr>
        <w:tabs>
          <w:tab w:val="left" w:pos="1440"/>
        </w:tabs>
        <w:adjustRightInd w:val="0"/>
        <w:snapToGrid w:val="0"/>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省卫生健康委</w:t>
      </w:r>
      <w:r>
        <w:rPr>
          <w:rFonts w:hint="eastAsia" w:ascii="Times New Roman" w:hAnsi="Times New Roman" w:eastAsia="仿宋_GB2312"/>
          <w:color w:val="auto"/>
          <w:sz w:val="32"/>
          <w:szCs w:val="32"/>
        </w:rPr>
        <w:t>高度重视政府信息公开工作。一是加强组织领导，成立了由委</w:t>
      </w:r>
      <w:r>
        <w:rPr>
          <w:rFonts w:hint="eastAsia" w:ascii="Times New Roman" w:hAnsi="Times New Roman" w:eastAsia="仿宋_GB2312"/>
          <w:color w:val="auto"/>
          <w:sz w:val="32"/>
          <w:szCs w:val="32"/>
          <w:lang w:eastAsia="zh-CN"/>
        </w:rPr>
        <w:t>主要负责人</w:t>
      </w:r>
      <w:r>
        <w:rPr>
          <w:rFonts w:hint="eastAsia" w:ascii="Times New Roman" w:hAnsi="Times New Roman" w:eastAsia="仿宋_GB2312"/>
          <w:color w:val="auto"/>
          <w:sz w:val="32"/>
          <w:szCs w:val="32"/>
        </w:rPr>
        <w:t>任组长</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分管</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任副组长的政务信息公开工作领导小组，统筹推动政务公开、“互联网+政务服务”、政务网站建设等工作，并将政务服务、政府信息公开工作列入年度工作要点，纳入重要议事日程。二是强化队伍建设。建立了一支全系统覆盖、专兼职结合、总规模近200人的信息公开专干队伍，组织开展专题工作培训1次，安排参加相关业务培训3次，政务公开人员队伍综合素质得到明显提升。三是完善工作机制。按照“统一管理、统一标准、统一规范、谁制作谁负责”的原则，以标准为依据、以资源共享为目的，整合内部信息资源，健全信息公开体系，保障信息权威性、准确性以及及时性，完善安全防护体系，实现资源互通共享，保障公民、法人和其他组织依法获取卫生健康信息，提高工作透明度，提升信息应用、服务水平。</w:t>
      </w:r>
    </w:p>
    <w:p>
      <w:pPr>
        <w:numPr>
          <w:ilvl w:val="255"/>
          <w:numId w:val="0"/>
        </w:numPr>
        <w:pBdr>
          <w:bottom w:val="single" w:color="FFFFFF" w:sz="4" w:space="31"/>
        </w:pBdr>
        <w:tabs>
          <w:tab w:val="left" w:pos="1440"/>
        </w:tabs>
        <w:spacing w:line="560" w:lineRule="exact"/>
        <w:ind w:firstLine="640" w:firstLineChars="200"/>
        <w:rPr>
          <w:rFonts w:ascii="楷体" w:hAnsi="楷体" w:eastAsia="楷体" w:cs="方正楷体_GBK"/>
          <w:bCs/>
          <w:color w:val="auto"/>
          <w:sz w:val="32"/>
          <w:szCs w:val="32"/>
        </w:rPr>
      </w:pPr>
      <w:r>
        <w:rPr>
          <w:rFonts w:hint="eastAsia" w:ascii="楷体" w:hAnsi="楷体" w:eastAsia="楷体" w:cs="方正楷体_GBK"/>
          <w:bCs/>
          <w:color w:val="auto"/>
          <w:sz w:val="32"/>
          <w:szCs w:val="32"/>
        </w:rPr>
        <w:t>（四）平台建设</w:t>
      </w:r>
    </w:p>
    <w:p>
      <w:pPr>
        <w:pBdr>
          <w:bottom w:val="single" w:color="FFFFFF" w:sz="4" w:space="31"/>
        </w:pBdr>
        <w:tabs>
          <w:tab w:val="left" w:pos="1440"/>
        </w:tabs>
        <w:spacing w:line="560" w:lineRule="exact"/>
        <w:ind w:firstLine="640" w:firstLineChars="200"/>
        <w:rPr>
          <w:rFonts w:ascii="Times New Roman" w:hAnsi="Times New Roman" w:eastAsia="仿宋_GB2312"/>
          <w:bCs/>
          <w:color w:val="auto"/>
          <w:sz w:val="32"/>
          <w:szCs w:val="32"/>
        </w:rPr>
      </w:pPr>
      <w:r>
        <w:rPr>
          <w:rFonts w:hint="eastAsia" w:ascii="Times New Roman" w:hAnsi="Times New Roman" w:eastAsia="仿宋_GB2312"/>
          <w:color w:val="auto"/>
          <w:sz w:val="32"/>
          <w:szCs w:val="32"/>
          <w:lang w:eastAsia="zh-CN"/>
        </w:rPr>
        <w:t>省卫生健康委</w:t>
      </w:r>
      <w:r>
        <w:rPr>
          <w:rFonts w:hint="eastAsia" w:ascii="Times New Roman" w:hAnsi="Times New Roman" w:eastAsia="仿宋_GB2312"/>
          <w:color w:val="auto"/>
          <w:sz w:val="32"/>
          <w:szCs w:val="32"/>
        </w:rPr>
        <w:t>高度重视</w:t>
      </w:r>
      <w:r>
        <w:rPr>
          <w:rFonts w:hint="eastAsia" w:ascii="Times New Roman" w:hAnsi="Times New Roman" w:eastAsia="仿宋_GB2312"/>
          <w:color w:val="auto"/>
          <w:sz w:val="32"/>
          <w:szCs w:val="32"/>
          <w:lang w:val="en-US" w:eastAsia="zh-CN"/>
        </w:rPr>
        <w:t>官方</w:t>
      </w:r>
      <w:r>
        <w:rPr>
          <w:rFonts w:hint="eastAsia" w:ascii="Times New Roman" w:hAnsi="Times New Roman" w:eastAsia="仿宋_GB2312"/>
          <w:color w:val="auto"/>
          <w:sz w:val="32"/>
          <w:szCs w:val="32"/>
        </w:rPr>
        <w:t>网站建设，</w:t>
      </w:r>
      <w:r>
        <w:rPr>
          <w:rFonts w:hint="eastAsia" w:ascii="Times New Roman" w:hAnsi="Times New Roman" w:eastAsia="仿宋_GB2312"/>
          <w:color w:val="auto"/>
          <w:sz w:val="32"/>
          <w:szCs w:val="32"/>
          <w:lang w:val="en-US" w:eastAsia="zh-CN"/>
        </w:rPr>
        <w:t>委主要负责人</w:t>
      </w:r>
      <w:r>
        <w:rPr>
          <w:rFonts w:hint="eastAsia" w:ascii="Times New Roman" w:hAnsi="Times New Roman" w:eastAsia="仿宋_GB2312"/>
          <w:color w:val="auto"/>
          <w:sz w:val="32"/>
          <w:szCs w:val="32"/>
        </w:rPr>
        <w:t>多次召集网站宣传专题会议、网站专项经费协调会，研究部署网站建设工作，对事关门户网站发展的相关问题及早谋划，及时解决。实行网站集约化建设和管理，全</w:t>
      </w:r>
      <w:r>
        <w:rPr>
          <w:rFonts w:hint="eastAsia" w:ascii="仿宋_GB2312" w:eastAsia="仿宋_GB2312"/>
          <w:color w:val="auto"/>
          <w:sz w:val="32"/>
          <w:szCs w:val="32"/>
        </w:rPr>
        <w:t>省14个市州、25个委机关处室、32个委直属和联系单位均部署了信息传送端口，实现了全省卫生健康系统网站统一出口、统一链接、统一开发、统一指导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同时</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依托专业信息平</w:t>
      </w:r>
      <w:r>
        <w:rPr>
          <w:rFonts w:ascii="Times New Roman" w:hAnsi="Times New Roman" w:eastAsia="仿宋_GB2312"/>
          <w:bCs/>
          <w:color w:val="auto"/>
          <w:sz w:val="32"/>
          <w:szCs w:val="32"/>
        </w:rPr>
        <w:t>台，强化对全省疫情防控、新冠疫苗接种、核酸检测等工作相关舆情进行监测，发现情况，及时报告，妥善处置，</w:t>
      </w:r>
      <w:r>
        <w:rPr>
          <w:rFonts w:hint="eastAsia" w:ascii="仿宋_GB2312" w:hAnsi="仿宋_GB2312" w:eastAsia="仿宋_GB2312" w:cs="仿宋_GB2312"/>
          <w:color w:val="auto"/>
          <w:sz w:val="32"/>
          <w:szCs w:val="32"/>
          <w:lang w:val="en-US" w:eastAsia="zh-CN"/>
        </w:rPr>
        <w:t>切实</w:t>
      </w:r>
      <w:r>
        <w:rPr>
          <w:rFonts w:hint="eastAsia" w:ascii="仿宋_GB2312" w:hAnsi="仿宋_GB2312" w:eastAsia="仿宋_GB2312" w:cs="仿宋_GB2312"/>
          <w:color w:val="auto"/>
          <w:sz w:val="32"/>
          <w:szCs w:val="32"/>
        </w:rPr>
        <w:t>营造良好舆论</w:t>
      </w:r>
      <w:r>
        <w:rPr>
          <w:rFonts w:hint="eastAsia" w:ascii="仿宋_GB2312" w:hAnsi="仿宋_GB2312" w:eastAsia="仿宋_GB2312" w:cs="仿宋_GB2312"/>
          <w:color w:val="auto"/>
          <w:sz w:val="32"/>
          <w:szCs w:val="32"/>
          <w:lang w:val="en-US" w:eastAsia="zh-CN"/>
        </w:rPr>
        <w:t>宣传</w:t>
      </w:r>
      <w:r>
        <w:rPr>
          <w:rFonts w:hint="eastAsia" w:ascii="仿宋_GB2312" w:hAnsi="仿宋_GB2312" w:eastAsia="仿宋_GB2312" w:cs="仿宋_GB2312"/>
          <w:color w:val="auto"/>
          <w:sz w:val="32"/>
          <w:szCs w:val="32"/>
        </w:rPr>
        <w:t>氛围。</w:t>
      </w:r>
    </w:p>
    <w:p>
      <w:pPr>
        <w:numPr>
          <w:ilvl w:val="255"/>
          <w:numId w:val="0"/>
        </w:numPr>
        <w:pBdr>
          <w:bottom w:val="single" w:color="FFFFFF" w:sz="4" w:space="31"/>
        </w:pBdr>
        <w:tabs>
          <w:tab w:val="left" w:pos="1440"/>
        </w:tabs>
        <w:spacing w:line="600" w:lineRule="exact"/>
        <w:ind w:firstLine="640" w:firstLineChars="200"/>
        <w:rPr>
          <w:rFonts w:ascii="楷体" w:hAnsi="楷体" w:eastAsia="楷体" w:cs="方正楷体_GBK"/>
          <w:bCs/>
          <w:color w:val="auto"/>
          <w:sz w:val="32"/>
          <w:szCs w:val="32"/>
        </w:rPr>
      </w:pPr>
      <w:r>
        <w:rPr>
          <w:rFonts w:hint="eastAsia" w:ascii="楷体" w:hAnsi="楷体" w:eastAsia="楷体" w:cs="方正楷体_GBK"/>
          <w:bCs/>
          <w:color w:val="auto"/>
          <w:sz w:val="32"/>
          <w:szCs w:val="32"/>
        </w:rPr>
        <w:t>（五）监督保障</w:t>
      </w:r>
    </w:p>
    <w:p>
      <w:pPr>
        <w:pBdr>
          <w:bottom w:val="single" w:color="FFFFFF" w:sz="4" w:space="31"/>
        </w:pBdr>
        <w:tabs>
          <w:tab w:val="left" w:pos="1440"/>
        </w:tabs>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建立工作评估通报制度。按照“月月统计、年度评估”的原则，通过日常监测、远程巡查、第三方专家评议等方式，对委机关各处室、</w:t>
      </w:r>
      <w:r>
        <w:rPr>
          <w:rFonts w:hint="eastAsia" w:ascii="仿宋_GB2312" w:eastAsia="仿宋_GB2312"/>
          <w:color w:val="auto"/>
          <w:sz w:val="32"/>
          <w:szCs w:val="32"/>
          <w:lang w:val="en-US" w:eastAsia="zh-CN"/>
        </w:rPr>
        <w:t>委</w:t>
      </w:r>
      <w:r>
        <w:rPr>
          <w:rFonts w:hint="eastAsia" w:ascii="仿宋_GB2312" w:eastAsia="仿宋_GB2312"/>
          <w:color w:val="auto"/>
          <w:sz w:val="32"/>
          <w:szCs w:val="32"/>
        </w:rPr>
        <w:t>直属单位及市州卫生健康行政部门有关工作开展情况进行监督评估</w:t>
      </w:r>
      <w:r>
        <w:rPr>
          <w:rFonts w:hint="eastAsia" w:ascii="仿宋_GB2312" w:eastAsia="仿宋_GB2312"/>
          <w:color w:val="auto"/>
          <w:sz w:val="32"/>
          <w:szCs w:val="32"/>
          <w:lang w:eastAsia="zh-CN"/>
        </w:rPr>
        <w:t>，</w:t>
      </w:r>
      <w:r>
        <w:rPr>
          <w:rFonts w:hint="eastAsia" w:ascii="仿宋_GB2312" w:eastAsia="仿宋_GB2312"/>
          <w:color w:val="auto"/>
          <w:sz w:val="32"/>
          <w:szCs w:val="32"/>
        </w:rPr>
        <w:t>并在相关会议上予以通报。</w:t>
      </w:r>
    </w:p>
    <w:p>
      <w:pPr>
        <w:pBdr>
          <w:bottom w:val="single" w:color="FFFFFF" w:sz="4" w:space="31"/>
        </w:pBdr>
        <w:tabs>
          <w:tab w:val="left" w:pos="1440"/>
        </w:tabs>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建立健全政府信息公开责任追究制度。凡重要政务信息、重要咨询内容应公开而未公开、应回复而未及时回复或处置错误的，对直接责任人和责任单位</w:t>
      </w:r>
      <w:r>
        <w:rPr>
          <w:rFonts w:hint="eastAsia" w:ascii="仿宋_GB2312" w:eastAsia="仿宋_GB2312"/>
          <w:color w:val="auto"/>
          <w:sz w:val="32"/>
          <w:szCs w:val="32"/>
          <w:lang w:val="en-US" w:eastAsia="zh-CN"/>
        </w:rPr>
        <w:t>进行</w:t>
      </w:r>
      <w:r>
        <w:rPr>
          <w:rFonts w:hint="eastAsia" w:ascii="仿宋_GB2312" w:eastAsia="仿宋_GB2312"/>
          <w:color w:val="auto"/>
          <w:sz w:val="32"/>
          <w:szCs w:val="32"/>
        </w:rPr>
        <w:t>通报；对情节严重的，或违反国家保密法等法律法规的，依法依规追究单位</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相关</w:t>
      </w:r>
      <w:r>
        <w:rPr>
          <w:rFonts w:hint="eastAsia" w:ascii="仿宋_GB2312" w:eastAsia="仿宋_GB2312"/>
          <w:color w:val="auto"/>
          <w:sz w:val="32"/>
          <w:szCs w:val="32"/>
        </w:rPr>
        <w:t>人员的责任。</w:t>
      </w:r>
    </w:p>
    <w:p>
      <w:pPr>
        <w:pBdr>
          <w:bottom w:val="single" w:color="FFFFFF" w:sz="4" w:space="31"/>
        </w:pBdr>
        <w:tabs>
          <w:tab w:val="left" w:pos="1440"/>
        </w:tabs>
        <w:spacing w:line="600" w:lineRule="exact"/>
        <w:ind w:firstLine="640" w:firstLineChars="200"/>
        <w:rPr>
          <w:rFonts w:ascii="黑体" w:hAnsi="黑体" w:eastAsia="黑体" w:cs="黑体"/>
          <w:color w:val="333333"/>
          <w:kern w:val="0"/>
          <w:sz w:val="32"/>
          <w:szCs w:val="32"/>
        </w:rPr>
      </w:pPr>
      <w:r>
        <w:rPr>
          <w:rFonts w:hint="eastAsia" w:ascii="黑体" w:hAnsi="黑体" w:eastAsia="黑体" w:cs="黑体"/>
          <w:color w:val="333333"/>
          <w:kern w:val="0"/>
          <w:sz w:val="32"/>
          <w:szCs w:val="32"/>
        </w:rPr>
        <w:t>二、主动公开政府信息情况</w:t>
      </w:r>
    </w:p>
    <w:tbl>
      <w:tblPr>
        <w:tblStyle w:val="6"/>
        <w:tblW w:w="9229" w:type="dxa"/>
        <w:tblInd w:w="93" w:type="dxa"/>
        <w:tblLayout w:type="fixed"/>
        <w:tblCellMar>
          <w:top w:w="0" w:type="dxa"/>
          <w:left w:w="108" w:type="dxa"/>
          <w:bottom w:w="0" w:type="dxa"/>
          <w:right w:w="108" w:type="dxa"/>
        </w:tblCellMar>
      </w:tblPr>
      <w:tblGrid>
        <w:gridCol w:w="724"/>
        <w:gridCol w:w="731"/>
        <w:gridCol w:w="970"/>
        <w:gridCol w:w="1418"/>
        <w:gridCol w:w="708"/>
        <w:gridCol w:w="142"/>
        <w:gridCol w:w="567"/>
        <w:gridCol w:w="709"/>
        <w:gridCol w:w="992"/>
        <w:gridCol w:w="114"/>
        <w:gridCol w:w="737"/>
        <w:gridCol w:w="708"/>
        <w:gridCol w:w="709"/>
      </w:tblGrid>
      <w:tr>
        <w:tblPrEx>
          <w:tblCellMar>
            <w:top w:w="0" w:type="dxa"/>
            <w:left w:w="108" w:type="dxa"/>
            <w:bottom w:w="0" w:type="dxa"/>
            <w:right w:w="108" w:type="dxa"/>
          </w:tblCellMar>
        </w:tblPrEx>
        <w:trPr>
          <w:trHeight w:val="285" w:hRule="atLeast"/>
        </w:trPr>
        <w:tc>
          <w:tcPr>
            <w:tcW w:w="9229" w:type="dxa"/>
            <w:gridSpan w:val="13"/>
            <w:tcBorders>
              <w:top w:val="single" w:color="auto" w:sz="8" w:space="0"/>
              <w:left w:val="single" w:color="auto" w:sz="8" w:space="0"/>
              <w:bottom w:val="single" w:color="auto" w:sz="8" w:space="0"/>
              <w:right w:val="single" w:color="000000" w:sz="8" w:space="0"/>
            </w:tcBorders>
            <w:shd w:val="clear" w:color="000000" w:fill="C6D9F1"/>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第二十条第（一）项</w:t>
            </w:r>
          </w:p>
        </w:tc>
      </w:tr>
      <w:tr>
        <w:tblPrEx>
          <w:tblCellMar>
            <w:top w:w="0" w:type="dxa"/>
            <w:left w:w="108" w:type="dxa"/>
            <w:bottom w:w="0" w:type="dxa"/>
            <w:right w:w="108" w:type="dxa"/>
          </w:tblCellMar>
        </w:tblPrEx>
        <w:trPr>
          <w:trHeight w:val="270" w:hRule="atLeast"/>
        </w:trPr>
        <w:tc>
          <w:tcPr>
            <w:tcW w:w="2425" w:type="dxa"/>
            <w:gridSpan w:val="3"/>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信息内容</w:t>
            </w:r>
          </w:p>
        </w:tc>
        <w:tc>
          <w:tcPr>
            <w:tcW w:w="2268" w:type="dxa"/>
            <w:gridSpan w:val="3"/>
            <w:tcBorders>
              <w:top w:val="nil"/>
              <w:left w:val="nil"/>
              <w:bottom w:val="nil"/>
              <w:right w:val="single" w:color="auto"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本年新</w:t>
            </w:r>
          </w:p>
        </w:tc>
        <w:tc>
          <w:tcPr>
            <w:tcW w:w="2382" w:type="dxa"/>
            <w:gridSpan w:val="4"/>
            <w:tcBorders>
              <w:top w:val="single" w:color="auto" w:sz="8" w:space="0"/>
              <w:left w:val="nil"/>
              <w:bottom w:val="nil"/>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本年新</w:t>
            </w:r>
          </w:p>
        </w:tc>
        <w:tc>
          <w:tcPr>
            <w:tcW w:w="2154" w:type="dxa"/>
            <w:gridSpan w:val="3"/>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对外公开总数量</w:t>
            </w:r>
          </w:p>
        </w:tc>
      </w:tr>
      <w:tr>
        <w:tblPrEx>
          <w:tblCellMar>
            <w:top w:w="0" w:type="dxa"/>
            <w:left w:w="108" w:type="dxa"/>
            <w:bottom w:w="0" w:type="dxa"/>
            <w:right w:w="108" w:type="dxa"/>
          </w:tblCellMar>
        </w:tblPrEx>
        <w:trPr>
          <w:trHeight w:val="285" w:hRule="atLeast"/>
        </w:trPr>
        <w:tc>
          <w:tcPr>
            <w:tcW w:w="2425" w:type="dxa"/>
            <w:gridSpan w:val="3"/>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2268" w:type="dxa"/>
            <w:gridSpan w:val="3"/>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制作数量</w:t>
            </w:r>
          </w:p>
        </w:tc>
        <w:tc>
          <w:tcPr>
            <w:tcW w:w="2382" w:type="dxa"/>
            <w:gridSpan w:val="4"/>
            <w:tcBorders>
              <w:top w:val="nil"/>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公开数量</w:t>
            </w:r>
          </w:p>
        </w:tc>
        <w:tc>
          <w:tcPr>
            <w:tcW w:w="2154" w:type="dxa"/>
            <w:gridSpan w:val="3"/>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trPr>
        <w:tc>
          <w:tcPr>
            <w:tcW w:w="2425" w:type="dxa"/>
            <w:gridSpan w:val="3"/>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规章</w:t>
            </w:r>
          </w:p>
        </w:tc>
        <w:tc>
          <w:tcPr>
            <w:tcW w:w="2268" w:type="dxa"/>
            <w:gridSpan w:val="3"/>
            <w:tcBorders>
              <w:top w:val="nil"/>
              <w:left w:val="nil"/>
              <w:bottom w:val="single" w:color="auto" w:sz="8" w:space="0"/>
              <w:right w:val="single" w:color="auto" w:sz="8"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333333"/>
                <w:kern w:val="0"/>
                <w:szCs w:val="21"/>
                <w:lang w:bidi="ar"/>
              </w:rPr>
              <w:t>0</w:t>
            </w:r>
          </w:p>
        </w:tc>
        <w:tc>
          <w:tcPr>
            <w:tcW w:w="2382"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333333"/>
                <w:kern w:val="0"/>
                <w:szCs w:val="21"/>
                <w:lang w:bidi="ar"/>
              </w:rPr>
              <w:t>0</w:t>
            </w:r>
          </w:p>
        </w:tc>
        <w:tc>
          <w:tcPr>
            <w:tcW w:w="2154" w:type="dxa"/>
            <w:gridSpan w:val="3"/>
            <w:tcBorders>
              <w:top w:val="nil"/>
              <w:left w:val="nil"/>
              <w:bottom w:val="single" w:color="auto" w:sz="8" w:space="0"/>
              <w:right w:val="single" w:color="auto" w:sz="8"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333333"/>
                <w:kern w:val="0"/>
                <w:szCs w:val="21"/>
                <w:lang w:bidi="ar"/>
              </w:rPr>
              <w:t>0</w:t>
            </w:r>
          </w:p>
        </w:tc>
      </w:tr>
      <w:tr>
        <w:tblPrEx>
          <w:tblCellMar>
            <w:top w:w="0" w:type="dxa"/>
            <w:left w:w="108" w:type="dxa"/>
            <w:bottom w:w="0" w:type="dxa"/>
            <w:right w:w="108" w:type="dxa"/>
          </w:tblCellMar>
        </w:tblPrEx>
        <w:trPr>
          <w:trHeight w:val="285" w:hRule="atLeast"/>
        </w:trPr>
        <w:tc>
          <w:tcPr>
            <w:tcW w:w="2425" w:type="dxa"/>
            <w:gridSpan w:val="3"/>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规范性文件</w:t>
            </w:r>
          </w:p>
        </w:tc>
        <w:tc>
          <w:tcPr>
            <w:tcW w:w="2268" w:type="dxa"/>
            <w:gridSpan w:val="3"/>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23</w:t>
            </w:r>
          </w:p>
        </w:tc>
        <w:tc>
          <w:tcPr>
            <w:tcW w:w="2382" w:type="dxa"/>
            <w:gridSpan w:val="4"/>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17</w:t>
            </w:r>
          </w:p>
        </w:tc>
        <w:tc>
          <w:tcPr>
            <w:tcW w:w="2154" w:type="dxa"/>
            <w:gridSpan w:val="3"/>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23</w:t>
            </w:r>
          </w:p>
        </w:tc>
      </w:tr>
      <w:tr>
        <w:tblPrEx>
          <w:tblCellMar>
            <w:top w:w="0" w:type="dxa"/>
            <w:left w:w="108" w:type="dxa"/>
            <w:bottom w:w="0" w:type="dxa"/>
            <w:right w:w="108" w:type="dxa"/>
          </w:tblCellMar>
        </w:tblPrEx>
        <w:trPr>
          <w:trHeight w:val="285" w:hRule="atLeast"/>
        </w:trPr>
        <w:tc>
          <w:tcPr>
            <w:tcW w:w="9229" w:type="dxa"/>
            <w:gridSpan w:val="13"/>
            <w:tcBorders>
              <w:top w:val="single" w:color="auto" w:sz="8" w:space="0"/>
              <w:left w:val="single" w:color="auto" w:sz="8" w:space="0"/>
              <w:bottom w:val="single" w:color="auto" w:sz="8" w:space="0"/>
              <w:right w:val="single" w:color="000000" w:sz="8" w:space="0"/>
            </w:tcBorders>
            <w:shd w:val="clear" w:color="000000" w:fill="C6D9F1"/>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第二十条第（五）项</w:t>
            </w:r>
          </w:p>
        </w:tc>
      </w:tr>
      <w:tr>
        <w:tblPrEx>
          <w:tblCellMar>
            <w:top w:w="0" w:type="dxa"/>
            <w:left w:w="108" w:type="dxa"/>
            <w:bottom w:w="0" w:type="dxa"/>
            <w:right w:w="108" w:type="dxa"/>
          </w:tblCellMar>
        </w:tblPrEx>
        <w:trPr>
          <w:trHeight w:val="285" w:hRule="atLeast"/>
        </w:trPr>
        <w:tc>
          <w:tcPr>
            <w:tcW w:w="2425" w:type="dxa"/>
            <w:gridSpan w:val="3"/>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信息内容</w:t>
            </w:r>
          </w:p>
        </w:tc>
        <w:tc>
          <w:tcPr>
            <w:tcW w:w="2268" w:type="dxa"/>
            <w:gridSpan w:val="3"/>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上一年项目数量</w:t>
            </w:r>
          </w:p>
        </w:tc>
        <w:tc>
          <w:tcPr>
            <w:tcW w:w="2382"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本年增/减</w:t>
            </w:r>
          </w:p>
        </w:tc>
        <w:tc>
          <w:tcPr>
            <w:tcW w:w="2154" w:type="dxa"/>
            <w:gridSpan w:val="3"/>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处理决定数量</w:t>
            </w:r>
          </w:p>
        </w:tc>
      </w:tr>
      <w:tr>
        <w:tblPrEx>
          <w:tblCellMar>
            <w:top w:w="0" w:type="dxa"/>
            <w:left w:w="108" w:type="dxa"/>
            <w:bottom w:w="0" w:type="dxa"/>
            <w:right w:w="108" w:type="dxa"/>
          </w:tblCellMar>
        </w:tblPrEx>
        <w:trPr>
          <w:trHeight w:val="285" w:hRule="atLeast"/>
        </w:trPr>
        <w:tc>
          <w:tcPr>
            <w:tcW w:w="2425" w:type="dxa"/>
            <w:gridSpan w:val="3"/>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2268" w:type="dxa"/>
            <w:gridSpan w:val="3"/>
            <w:tcBorders>
              <w:top w:val="single" w:color="auto" w:sz="8" w:space="0"/>
              <w:left w:val="nil"/>
              <w:bottom w:val="single" w:color="auto"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5298</w:t>
            </w:r>
          </w:p>
        </w:tc>
        <w:tc>
          <w:tcPr>
            <w:tcW w:w="2382" w:type="dxa"/>
            <w:gridSpan w:val="4"/>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1718</w:t>
            </w:r>
          </w:p>
        </w:tc>
        <w:tc>
          <w:tcPr>
            <w:tcW w:w="2154" w:type="dxa"/>
            <w:gridSpan w:val="3"/>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7016</w:t>
            </w:r>
          </w:p>
        </w:tc>
      </w:tr>
      <w:tr>
        <w:tblPrEx>
          <w:tblCellMar>
            <w:top w:w="0" w:type="dxa"/>
            <w:left w:w="108" w:type="dxa"/>
            <w:bottom w:w="0" w:type="dxa"/>
            <w:right w:w="108" w:type="dxa"/>
          </w:tblCellMar>
        </w:tblPrEx>
        <w:trPr>
          <w:trHeight w:val="285" w:hRule="atLeast"/>
        </w:trPr>
        <w:tc>
          <w:tcPr>
            <w:tcW w:w="2425" w:type="dxa"/>
            <w:gridSpan w:val="3"/>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其他对外管理服务事项</w:t>
            </w:r>
          </w:p>
        </w:tc>
        <w:tc>
          <w:tcPr>
            <w:tcW w:w="2268" w:type="dxa"/>
            <w:gridSpan w:val="3"/>
            <w:tcBorders>
              <w:top w:val="single" w:color="auto" w:sz="8" w:space="0"/>
              <w:left w:val="nil"/>
              <w:bottom w:val="single" w:color="auto"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4</w:t>
            </w:r>
          </w:p>
        </w:tc>
        <w:tc>
          <w:tcPr>
            <w:tcW w:w="2382" w:type="dxa"/>
            <w:gridSpan w:val="4"/>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w:t>
            </w:r>
          </w:p>
        </w:tc>
        <w:tc>
          <w:tcPr>
            <w:tcW w:w="2154" w:type="dxa"/>
            <w:gridSpan w:val="3"/>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w:t>
            </w:r>
          </w:p>
        </w:tc>
      </w:tr>
      <w:tr>
        <w:tblPrEx>
          <w:tblCellMar>
            <w:top w:w="0" w:type="dxa"/>
            <w:left w:w="108" w:type="dxa"/>
            <w:bottom w:w="0" w:type="dxa"/>
            <w:right w:w="108" w:type="dxa"/>
          </w:tblCellMar>
        </w:tblPrEx>
        <w:trPr>
          <w:trHeight w:val="285" w:hRule="atLeast"/>
        </w:trPr>
        <w:tc>
          <w:tcPr>
            <w:tcW w:w="9229" w:type="dxa"/>
            <w:gridSpan w:val="13"/>
            <w:tcBorders>
              <w:top w:val="single" w:color="auto" w:sz="8" w:space="0"/>
              <w:left w:val="single" w:color="auto" w:sz="8" w:space="0"/>
              <w:bottom w:val="single" w:color="auto" w:sz="8" w:space="0"/>
              <w:right w:val="single" w:color="000000" w:sz="8" w:space="0"/>
            </w:tcBorders>
            <w:shd w:val="clear" w:color="000000" w:fill="C6D9F1"/>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第二十条第（六）项</w:t>
            </w:r>
          </w:p>
        </w:tc>
      </w:tr>
      <w:tr>
        <w:tblPrEx>
          <w:tblCellMar>
            <w:top w:w="0" w:type="dxa"/>
            <w:left w:w="108" w:type="dxa"/>
            <w:bottom w:w="0" w:type="dxa"/>
            <w:right w:w="108" w:type="dxa"/>
          </w:tblCellMar>
        </w:tblPrEx>
        <w:trPr>
          <w:trHeight w:val="285" w:hRule="atLeast"/>
        </w:trPr>
        <w:tc>
          <w:tcPr>
            <w:tcW w:w="2425" w:type="dxa"/>
            <w:gridSpan w:val="3"/>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信息内容</w:t>
            </w:r>
          </w:p>
        </w:tc>
        <w:tc>
          <w:tcPr>
            <w:tcW w:w="2268" w:type="dxa"/>
            <w:gridSpan w:val="3"/>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上一年项目数量</w:t>
            </w:r>
          </w:p>
        </w:tc>
        <w:tc>
          <w:tcPr>
            <w:tcW w:w="2382"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本年增/减</w:t>
            </w:r>
          </w:p>
        </w:tc>
        <w:tc>
          <w:tcPr>
            <w:tcW w:w="2154" w:type="dxa"/>
            <w:gridSpan w:val="3"/>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处理决定数量</w:t>
            </w:r>
          </w:p>
        </w:tc>
      </w:tr>
      <w:tr>
        <w:tblPrEx>
          <w:tblCellMar>
            <w:top w:w="0" w:type="dxa"/>
            <w:left w:w="108" w:type="dxa"/>
            <w:bottom w:w="0" w:type="dxa"/>
            <w:right w:w="108" w:type="dxa"/>
          </w:tblCellMar>
        </w:tblPrEx>
        <w:trPr>
          <w:trHeight w:val="285" w:hRule="atLeast"/>
        </w:trPr>
        <w:tc>
          <w:tcPr>
            <w:tcW w:w="2425" w:type="dxa"/>
            <w:gridSpan w:val="3"/>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行政处罚</w:t>
            </w:r>
          </w:p>
        </w:tc>
        <w:tc>
          <w:tcPr>
            <w:tcW w:w="2268" w:type="dxa"/>
            <w:gridSpan w:val="3"/>
            <w:tcBorders>
              <w:top w:val="single" w:color="auto" w:sz="8" w:space="0"/>
              <w:left w:val="nil"/>
              <w:bottom w:val="single" w:color="auto"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6</w:t>
            </w:r>
          </w:p>
        </w:tc>
        <w:tc>
          <w:tcPr>
            <w:tcW w:w="2382" w:type="dxa"/>
            <w:gridSpan w:val="4"/>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154" w:type="dxa"/>
            <w:gridSpan w:val="3"/>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58</w:t>
            </w:r>
          </w:p>
        </w:tc>
      </w:tr>
      <w:tr>
        <w:tblPrEx>
          <w:tblCellMar>
            <w:top w:w="0" w:type="dxa"/>
            <w:left w:w="108" w:type="dxa"/>
            <w:bottom w:w="0" w:type="dxa"/>
            <w:right w:w="108" w:type="dxa"/>
          </w:tblCellMar>
        </w:tblPrEx>
        <w:trPr>
          <w:trHeight w:val="285" w:hRule="atLeast"/>
        </w:trPr>
        <w:tc>
          <w:tcPr>
            <w:tcW w:w="2425" w:type="dxa"/>
            <w:gridSpan w:val="3"/>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行政强制</w:t>
            </w:r>
          </w:p>
        </w:tc>
        <w:tc>
          <w:tcPr>
            <w:tcW w:w="2268" w:type="dxa"/>
            <w:gridSpan w:val="3"/>
            <w:tcBorders>
              <w:top w:val="single" w:color="auto" w:sz="8" w:space="0"/>
              <w:left w:val="nil"/>
              <w:bottom w:val="single" w:color="auto"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382" w:type="dxa"/>
            <w:gridSpan w:val="4"/>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154" w:type="dxa"/>
            <w:gridSpan w:val="3"/>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285" w:hRule="atLeast"/>
        </w:trPr>
        <w:tc>
          <w:tcPr>
            <w:tcW w:w="9229" w:type="dxa"/>
            <w:gridSpan w:val="13"/>
            <w:tcBorders>
              <w:top w:val="single" w:color="auto" w:sz="8" w:space="0"/>
              <w:left w:val="single" w:color="auto" w:sz="8" w:space="0"/>
              <w:bottom w:val="single" w:color="auto" w:sz="8" w:space="0"/>
              <w:right w:val="single" w:color="000000" w:sz="8" w:space="0"/>
            </w:tcBorders>
            <w:shd w:val="clear" w:color="000000" w:fill="C6D9F1"/>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第二十条第（八）项</w:t>
            </w:r>
          </w:p>
        </w:tc>
      </w:tr>
      <w:tr>
        <w:tblPrEx>
          <w:tblCellMar>
            <w:top w:w="0" w:type="dxa"/>
            <w:left w:w="108" w:type="dxa"/>
            <w:bottom w:w="0" w:type="dxa"/>
            <w:right w:w="108" w:type="dxa"/>
          </w:tblCellMar>
        </w:tblPrEx>
        <w:trPr>
          <w:trHeight w:val="285" w:hRule="atLeast"/>
        </w:trPr>
        <w:tc>
          <w:tcPr>
            <w:tcW w:w="2425" w:type="dxa"/>
            <w:gridSpan w:val="3"/>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信息内容</w:t>
            </w:r>
          </w:p>
        </w:tc>
        <w:tc>
          <w:tcPr>
            <w:tcW w:w="465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上一年项目数量</w:t>
            </w:r>
          </w:p>
        </w:tc>
        <w:tc>
          <w:tcPr>
            <w:tcW w:w="2154"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本年增/减</w:t>
            </w:r>
          </w:p>
        </w:tc>
      </w:tr>
      <w:tr>
        <w:tblPrEx>
          <w:tblCellMar>
            <w:top w:w="0" w:type="dxa"/>
            <w:left w:w="108" w:type="dxa"/>
            <w:bottom w:w="0" w:type="dxa"/>
            <w:right w:w="108" w:type="dxa"/>
          </w:tblCellMar>
        </w:tblPrEx>
        <w:trPr>
          <w:trHeight w:val="285" w:hRule="atLeast"/>
        </w:trPr>
        <w:tc>
          <w:tcPr>
            <w:tcW w:w="2425" w:type="dxa"/>
            <w:gridSpan w:val="3"/>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行政事业性收费</w:t>
            </w:r>
          </w:p>
        </w:tc>
        <w:tc>
          <w:tcPr>
            <w:tcW w:w="465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54"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285" w:hRule="atLeast"/>
        </w:trPr>
        <w:tc>
          <w:tcPr>
            <w:tcW w:w="9229" w:type="dxa"/>
            <w:gridSpan w:val="13"/>
            <w:tcBorders>
              <w:top w:val="single" w:color="auto" w:sz="8" w:space="0"/>
              <w:left w:val="single" w:color="auto" w:sz="8" w:space="0"/>
              <w:bottom w:val="single" w:color="auto" w:sz="8" w:space="0"/>
              <w:right w:val="single" w:color="000000" w:sz="8" w:space="0"/>
            </w:tcBorders>
            <w:shd w:val="clear" w:color="000000" w:fill="C6D9F1"/>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第二十条第（九）项</w:t>
            </w:r>
          </w:p>
        </w:tc>
      </w:tr>
      <w:tr>
        <w:tblPrEx>
          <w:tblCellMar>
            <w:top w:w="0" w:type="dxa"/>
            <w:left w:w="108" w:type="dxa"/>
            <w:bottom w:w="0" w:type="dxa"/>
            <w:right w:w="108" w:type="dxa"/>
          </w:tblCellMar>
        </w:tblPrEx>
        <w:trPr>
          <w:trHeight w:val="285" w:hRule="atLeast"/>
        </w:trPr>
        <w:tc>
          <w:tcPr>
            <w:tcW w:w="2425" w:type="dxa"/>
            <w:gridSpan w:val="3"/>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信息内容</w:t>
            </w:r>
          </w:p>
        </w:tc>
        <w:tc>
          <w:tcPr>
            <w:tcW w:w="4650" w:type="dxa"/>
            <w:gridSpan w:val="7"/>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采购项目数量</w:t>
            </w:r>
          </w:p>
        </w:tc>
        <w:tc>
          <w:tcPr>
            <w:tcW w:w="2154"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采购总金额</w:t>
            </w:r>
          </w:p>
        </w:tc>
      </w:tr>
      <w:tr>
        <w:tblPrEx>
          <w:tblCellMar>
            <w:top w:w="0" w:type="dxa"/>
            <w:left w:w="108" w:type="dxa"/>
            <w:bottom w:w="0" w:type="dxa"/>
            <w:right w:w="108" w:type="dxa"/>
          </w:tblCellMar>
        </w:tblPrEx>
        <w:trPr>
          <w:trHeight w:val="300" w:hRule="atLeast"/>
        </w:trPr>
        <w:tc>
          <w:tcPr>
            <w:tcW w:w="2425" w:type="dxa"/>
            <w:gridSpan w:val="3"/>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政府集中采购</w:t>
            </w:r>
          </w:p>
        </w:tc>
        <w:tc>
          <w:tcPr>
            <w:tcW w:w="4650" w:type="dxa"/>
            <w:gridSpan w:val="7"/>
            <w:tcBorders>
              <w:top w:val="single" w:color="auto" w:sz="8" w:space="0"/>
              <w:left w:val="nil"/>
              <w:bottom w:val="single" w:color="auto"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697</w:t>
            </w:r>
          </w:p>
        </w:tc>
        <w:tc>
          <w:tcPr>
            <w:tcW w:w="2154" w:type="dxa"/>
            <w:gridSpan w:val="3"/>
            <w:tcBorders>
              <w:top w:val="single" w:color="auto" w:sz="8" w:space="0"/>
              <w:left w:val="nil"/>
              <w:bottom w:val="single" w:color="auto" w:sz="8" w:space="0"/>
              <w:right w:val="single" w:color="000000" w:sz="8" w:space="0"/>
            </w:tcBorders>
            <w:shd w:val="clear" w:color="auto" w:fill="auto"/>
            <w:noWrap/>
            <w:vAlign w:val="center"/>
          </w:tcPr>
          <w:p>
            <w:pPr>
              <w:keepNext w:val="0"/>
              <w:keepLines w:val="0"/>
              <w:widowControl/>
              <w:suppressLineNumbers w:val="0"/>
              <w:jc w:val="center"/>
              <w:textAlignment w:val="center"/>
              <w:rPr>
                <w:rFonts w:cs="宋体"/>
                <w:color w:val="000000"/>
                <w:kern w:val="0"/>
                <w:szCs w:val="21"/>
              </w:rPr>
            </w:pPr>
            <w:r>
              <w:rPr>
                <w:rFonts w:hint="eastAsia" w:ascii="宋体" w:hAnsi="宋体" w:eastAsia="宋体" w:cs="宋体"/>
                <w:i w:val="0"/>
                <w:iCs w:val="0"/>
                <w:color w:val="000000"/>
                <w:kern w:val="0"/>
                <w:sz w:val="22"/>
                <w:szCs w:val="22"/>
                <w:u w:val="none"/>
                <w:lang w:val="en-US" w:eastAsia="zh-CN" w:bidi="ar"/>
              </w:rPr>
              <w:t>573008003.8</w:t>
            </w:r>
          </w:p>
        </w:tc>
      </w:tr>
      <w:tr>
        <w:tblPrEx>
          <w:tblCellMar>
            <w:top w:w="0" w:type="dxa"/>
            <w:left w:w="108" w:type="dxa"/>
            <w:bottom w:w="0" w:type="dxa"/>
            <w:right w:w="108" w:type="dxa"/>
          </w:tblCellMar>
        </w:tblPrEx>
        <w:trPr>
          <w:trHeight w:val="300" w:hRule="atLeast"/>
        </w:trPr>
        <w:tc>
          <w:tcPr>
            <w:tcW w:w="9229" w:type="dxa"/>
            <w:gridSpan w:val="13"/>
            <w:tcBorders>
              <w:top w:val="nil"/>
              <w:left w:val="nil"/>
              <w:bottom w:val="single" w:color="auto" w:sz="8" w:space="0"/>
              <w:right w:val="nil"/>
            </w:tcBorders>
            <w:shd w:val="clear" w:color="auto" w:fill="auto"/>
            <w:noWrap/>
          </w:tcPr>
          <w:p>
            <w:pPr>
              <w:ind w:firstLine="640" w:firstLineChars="200"/>
              <w:rPr>
                <w:rFonts w:ascii="仿宋_GB2312" w:eastAsia="仿宋_GB2312"/>
                <w:sz w:val="32"/>
                <w:szCs w:val="32"/>
              </w:rPr>
            </w:pPr>
            <w:r>
              <w:rPr>
                <w:rFonts w:hint="eastAsia" w:ascii="黑体" w:hAnsi="黑体" w:eastAsia="黑体" w:cs="黑体"/>
                <w:color w:val="333333"/>
                <w:kern w:val="0"/>
                <w:sz w:val="32"/>
                <w:szCs w:val="32"/>
              </w:rPr>
              <w:t>三、收到和处理政府信息公开申请情况</w:t>
            </w:r>
          </w:p>
        </w:tc>
      </w:tr>
      <w:tr>
        <w:tblPrEx>
          <w:tblCellMar>
            <w:top w:w="0" w:type="dxa"/>
            <w:left w:w="108" w:type="dxa"/>
            <w:bottom w:w="0" w:type="dxa"/>
            <w:right w:w="108" w:type="dxa"/>
          </w:tblCellMar>
        </w:tblPrEx>
        <w:trPr>
          <w:trHeight w:val="285" w:hRule="atLeast"/>
        </w:trPr>
        <w:tc>
          <w:tcPr>
            <w:tcW w:w="3843" w:type="dxa"/>
            <w:gridSpan w:val="4"/>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（本列数据的勾稽关系为：第一项加第二项之和，等于第三项加第四项之和）</w:t>
            </w:r>
          </w:p>
        </w:tc>
        <w:tc>
          <w:tcPr>
            <w:tcW w:w="5386" w:type="dxa"/>
            <w:gridSpan w:val="9"/>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申请人情况</w:t>
            </w:r>
          </w:p>
        </w:tc>
      </w:tr>
      <w:tr>
        <w:tblPrEx>
          <w:tblCellMar>
            <w:top w:w="0" w:type="dxa"/>
            <w:left w:w="108" w:type="dxa"/>
            <w:bottom w:w="0" w:type="dxa"/>
            <w:right w:w="108" w:type="dxa"/>
          </w:tblCellMar>
        </w:tblPrEx>
        <w:trPr>
          <w:trHeight w:val="285" w:hRule="atLeast"/>
        </w:trPr>
        <w:tc>
          <w:tcPr>
            <w:tcW w:w="3843" w:type="dxa"/>
            <w:gridSpan w:val="4"/>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70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自然人</w:t>
            </w:r>
          </w:p>
        </w:tc>
        <w:tc>
          <w:tcPr>
            <w:tcW w:w="3969" w:type="dxa"/>
            <w:gridSpan w:val="7"/>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法人或其他组织</w:t>
            </w:r>
          </w:p>
        </w:tc>
        <w:tc>
          <w:tcPr>
            <w:tcW w:w="70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总计</w:t>
            </w:r>
          </w:p>
        </w:tc>
      </w:tr>
      <w:tr>
        <w:tblPrEx>
          <w:tblCellMar>
            <w:top w:w="0" w:type="dxa"/>
            <w:left w:w="108" w:type="dxa"/>
            <w:bottom w:w="0" w:type="dxa"/>
            <w:right w:w="108" w:type="dxa"/>
          </w:tblCellMar>
        </w:tblPrEx>
        <w:trPr>
          <w:trHeight w:val="495" w:hRule="atLeast"/>
        </w:trPr>
        <w:tc>
          <w:tcPr>
            <w:tcW w:w="3843" w:type="dxa"/>
            <w:gridSpan w:val="4"/>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70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709"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商业企业</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科研机构</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社会公益组织</w:t>
            </w:r>
          </w:p>
        </w:tc>
        <w:tc>
          <w:tcPr>
            <w:tcW w:w="851"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法律服务机构</w:t>
            </w:r>
          </w:p>
        </w:tc>
        <w:tc>
          <w:tcPr>
            <w:tcW w:w="70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trPr>
        <w:tc>
          <w:tcPr>
            <w:tcW w:w="3843"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一、本年新收政府信息公开申请数量</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138</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14</w:t>
            </w:r>
            <w:r>
              <w:rPr>
                <w:rFonts w:hint="eastAsia" w:ascii="宋体" w:hAnsi="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285" w:hRule="atLeast"/>
        </w:trPr>
        <w:tc>
          <w:tcPr>
            <w:tcW w:w="3843"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二、上年结转政府信息公开申请数量</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5" w:hRule="atLeast"/>
        </w:trPr>
        <w:tc>
          <w:tcPr>
            <w:tcW w:w="72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三、本年度办理结果</w:t>
            </w:r>
          </w:p>
        </w:tc>
        <w:tc>
          <w:tcPr>
            <w:tcW w:w="3119"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（一）予以公开</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cs="宋体"/>
                <w:color w:val="000000"/>
                <w:kern w:val="0"/>
                <w:sz w:val="20"/>
                <w:szCs w:val="20"/>
                <w:lang w:val="en-US"/>
              </w:rPr>
            </w:pPr>
            <w:r>
              <w:rPr>
                <w:rFonts w:hint="eastAsia" w:ascii="宋体" w:hAnsi="宋体" w:cs="宋体"/>
                <w:i w:val="0"/>
                <w:iCs w:val="0"/>
                <w:color w:val="000000"/>
                <w:kern w:val="0"/>
                <w:sz w:val="22"/>
                <w:szCs w:val="22"/>
                <w:u w:val="none"/>
                <w:lang w:val="en-US" w:eastAsia="zh-CN" w:bidi="ar"/>
              </w:rPr>
              <w:t>133</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cs="宋体"/>
                <w:i w:val="0"/>
                <w:iCs w:val="0"/>
                <w:color w:val="000000"/>
                <w:kern w:val="0"/>
                <w:sz w:val="22"/>
                <w:szCs w:val="22"/>
                <w:u w:val="none"/>
                <w:lang w:val="en-US" w:eastAsia="zh-CN" w:bidi="ar"/>
              </w:rPr>
              <w:t>5</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13</w:t>
            </w:r>
            <w:r>
              <w:rPr>
                <w:rFonts w:hint="eastAsia" w:ascii="宋体" w:hAnsi="宋体" w:cs="宋体"/>
                <w:i w:val="0"/>
                <w:iCs w:val="0"/>
                <w:color w:val="000000"/>
                <w:kern w:val="0"/>
                <w:sz w:val="22"/>
                <w:szCs w:val="22"/>
                <w:u w:val="none"/>
                <w:lang w:val="en-US" w:eastAsia="zh-CN" w:bidi="ar"/>
              </w:rPr>
              <w:t>9</w:t>
            </w:r>
          </w:p>
        </w:tc>
      </w:tr>
      <w:tr>
        <w:tblPrEx>
          <w:tblCellMar>
            <w:top w:w="0" w:type="dxa"/>
            <w:left w:w="108" w:type="dxa"/>
            <w:bottom w:w="0" w:type="dxa"/>
            <w:right w:w="108" w:type="dxa"/>
          </w:tblCellMar>
        </w:tblPrEx>
        <w:trPr>
          <w:trHeight w:val="96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3119"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（二）部分公开（区分处理的，只计这一情形，不计其他情形）</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285"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73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（三）不予公开</w:t>
            </w:r>
          </w:p>
        </w:tc>
        <w:tc>
          <w:tcPr>
            <w:tcW w:w="2388" w:type="dxa"/>
            <w:gridSpan w:val="2"/>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1.属于国家秘密</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495"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73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color w:val="000000"/>
                <w:kern w:val="0"/>
                <w:sz w:val="20"/>
                <w:szCs w:val="20"/>
              </w:rPr>
            </w:pPr>
          </w:p>
        </w:tc>
        <w:tc>
          <w:tcPr>
            <w:tcW w:w="2388" w:type="dxa"/>
            <w:gridSpan w:val="2"/>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2.其他法律行政法规禁止公开</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495"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73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color w:val="000000"/>
                <w:kern w:val="0"/>
                <w:sz w:val="20"/>
                <w:szCs w:val="20"/>
              </w:rPr>
            </w:pPr>
          </w:p>
        </w:tc>
        <w:tc>
          <w:tcPr>
            <w:tcW w:w="2388" w:type="dxa"/>
            <w:gridSpan w:val="2"/>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3.危及“三安全一稳定”</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495"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73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color w:val="000000"/>
                <w:kern w:val="0"/>
                <w:sz w:val="20"/>
                <w:szCs w:val="20"/>
              </w:rPr>
            </w:pPr>
          </w:p>
        </w:tc>
        <w:tc>
          <w:tcPr>
            <w:tcW w:w="2388" w:type="dxa"/>
            <w:gridSpan w:val="2"/>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4.保护第三方合法权益</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495"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73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color w:val="000000"/>
                <w:kern w:val="0"/>
                <w:sz w:val="20"/>
                <w:szCs w:val="20"/>
              </w:rPr>
            </w:pPr>
          </w:p>
        </w:tc>
        <w:tc>
          <w:tcPr>
            <w:tcW w:w="2388" w:type="dxa"/>
            <w:gridSpan w:val="2"/>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5.属于三类内部事务信息</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495"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73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color w:val="000000"/>
                <w:kern w:val="0"/>
                <w:sz w:val="20"/>
                <w:szCs w:val="20"/>
              </w:rPr>
            </w:pPr>
          </w:p>
        </w:tc>
        <w:tc>
          <w:tcPr>
            <w:tcW w:w="2388" w:type="dxa"/>
            <w:gridSpan w:val="2"/>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6.属于四类过程性信息</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495"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73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color w:val="000000"/>
                <w:kern w:val="0"/>
                <w:sz w:val="20"/>
                <w:szCs w:val="20"/>
              </w:rPr>
            </w:pPr>
          </w:p>
        </w:tc>
        <w:tc>
          <w:tcPr>
            <w:tcW w:w="2388" w:type="dxa"/>
            <w:gridSpan w:val="2"/>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7.属于行政执法案卷</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495"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73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color w:val="000000"/>
                <w:kern w:val="0"/>
                <w:sz w:val="20"/>
                <w:szCs w:val="20"/>
              </w:rPr>
            </w:pPr>
          </w:p>
        </w:tc>
        <w:tc>
          <w:tcPr>
            <w:tcW w:w="2388" w:type="dxa"/>
            <w:gridSpan w:val="2"/>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8.属于行政查询事项</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495"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73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（四）无法提供</w:t>
            </w:r>
          </w:p>
        </w:tc>
        <w:tc>
          <w:tcPr>
            <w:tcW w:w="2388" w:type="dxa"/>
            <w:gridSpan w:val="2"/>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1.本机关不掌握相关政府信息</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3</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495"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73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color w:val="000000"/>
                <w:kern w:val="0"/>
                <w:sz w:val="20"/>
                <w:szCs w:val="20"/>
              </w:rPr>
            </w:pPr>
          </w:p>
        </w:tc>
        <w:tc>
          <w:tcPr>
            <w:tcW w:w="2388" w:type="dxa"/>
            <w:gridSpan w:val="2"/>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2.没有现成信息需要另行制作</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495"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73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color w:val="000000"/>
                <w:kern w:val="0"/>
                <w:sz w:val="20"/>
                <w:szCs w:val="20"/>
              </w:rPr>
            </w:pPr>
          </w:p>
        </w:tc>
        <w:tc>
          <w:tcPr>
            <w:tcW w:w="2388" w:type="dxa"/>
            <w:gridSpan w:val="2"/>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3.补正后申请内容仍不明确</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495"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73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（五）不予处理</w:t>
            </w:r>
          </w:p>
        </w:tc>
        <w:tc>
          <w:tcPr>
            <w:tcW w:w="2388" w:type="dxa"/>
            <w:gridSpan w:val="2"/>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1.信访举报投诉类申请</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5"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73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color w:val="000000"/>
                <w:kern w:val="0"/>
                <w:sz w:val="20"/>
                <w:szCs w:val="20"/>
              </w:rPr>
            </w:pPr>
          </w:p>
        </w:tc>
        <w:tc>
          <w:tcPr>
            <w:tcW w:w="2388" w:type="dxa"/>
            <w:gridSpan w:val="2"/>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2.重复申请</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495"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73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color w:val="000000"/>
                <w:kern w:val="0"/>
                <w:sz w:val="20"/>
                <w:szCs w:val="20"/>
              </w:rPr>
            </w:pPr>
          </w:p>
        </w:tc>
        <w:tc>
          <w:tcPr>
            <w:tcW w:w="2388" w:type="dxa"/>
            <w:gridSpan w:val="2"/>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3.要求提供公开出版物</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495"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73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color w:val="000000"/>
                <w:kern w:val="0"/>
                <w:sz w:val="20"/>
                <w:szCs w:val="20"/>
              </w:rPr>
            </w:pPr>
          </w:p>
        </w:tc>
        <w:tc>
          <w:tcPr>
            <w:tcW w:w="2388" w:type="dxa"/>
            <w:gridSpan w:val="2"/>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4.无正当理由大量反复申请</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735"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731" w:type="dxa"/>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color w:val="000000"/>
                <w:kern w:val="0"/>
                <w:sz w:val="20"/>
                <w:szCs w:val="20"/>
              </w:rPr>
            </w:pPr>
          </w:p>
        </w:tc>
        <w:tc>
          <w:tcPr>
            <w:tcW w:w="2388" w:type="dxa"/>
            <w:gridSpan w:val="2"/>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5.要求行政机关确认或重新出具已获取信息</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285"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3119"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（六）其他处理</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285"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3119"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（七）总计</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138</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14</w:t>
            </w:r>
            <w:r>
              <w:rPr>
                <w:rFonts w:hint="eastAsia" w:ascii="宋体" w:hAnsi="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300" w:hRule="atLeast"/>
        </w:trPr>
        <w:tc>
          <w:tcPr>
            <w:tcW w:w="3843"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四、结转下年度继续办理</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85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7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cs="宋体"/>
                <w:color w:val="000000"/>
                <w:kern w:val="0"/>
                <w:szCs w:val="21"/>
              </w:rPr>
            </w:pPr>
            <w:r>
              <w:rPr>
                <w:rFonts w:hint="eastAsia" w:ascii="宋体" w:hAnsi="宋体" w:eastAsia="宋体" w:cs="宋体"/>
                <w:i w:val="0"/>
                <w:iCs w:val="0"/>
                <w:color w:val="000000"/>
                <w:kern w:val="0"/>
                <w:sz w:val="22"/>
                <w:szCs w:val="22"/>
                <w:u w:val="none"/>
                <w:lang w:val="en-US" w:eastAsia="zh-CN" w:bidi="ar"/>
              </w:rPr>
              <w:t>0</w:t>
            </w:r>
          </w:p>
        </w:tc>
      </w:tr>
    </w:tbl>
    <w:p>
      <w:pPr>
        <w:widowControl/>
        <w:ind w:firstLine="960" w:firstLineChars="300"/>
        <w:rPr>
          <w:rFonts w:ascii="黑体" w:hAnsi="黑体" w:eastAsia="黑体" w:cs="黑体"/>
          <w:bCs/>
          <w:sz w:val="32"/>
          <w:szCs w:val="32"/>
        </w:rPr>
      </w:pPr>
      <w:r>
        <w:rPr>
          <w:rFonts w:hint="eastAsia" w:ascii="黑体" w:hAnsi="黑体" w:eastAsia="黑体" w:cs="黑体"/>
          <w:bCs/>
          <w:sz w:val="32"/>
          <w:szCs w:val="32"/>
        </w:rPr>
        <w:t>四、政府信息公开行政复议、行政诉讼情况</w:t>
      </w:r>
    </w:p>
    <w:tbl>
      <w:tblPr>
        <w:tblStyle w:val="6"/>
        <w:tblW w:w="9229" w:type="dxa"/>
        <w:tblInd w:w="93" w:type="dxa"/>
        <w:tblLayout w:type="autofit"/>
        <w:tblCellMar>
          <w:top w:w="0" w:type="dxa"/>
          <w:left w:w="108" w:type="dxa"/>
          <w:bottom w:w="0" w:type="dxa"/>
          <w:right w:w="108" w:type="dxa"/>
        </w:tblCellMar>
      </w:tblPr>
      <w:tblGrid>
        <w:gridCol w:w="500"/>
        <w:gridCol w:w="540"/>
        <w:gridCol w:w="580"/>
        <w:gridCol w:w="520"/>
        <w:gridCol w:w="540"/>
        <w:gridCol w:w="580"/>
        <w:gridCol w:w="560"/>
        <w:gridCol w:w="560"/>
        <w:gridCol w:w="600"/>
        <w:gridCol w:w="500"/>
        <w:gridCol w:w="540"/>
        <w:gridCol w:w="520"/>
        <w:gridCol w:w="580"/>
        <w:gridCol w:w="580"/>
        <w:gridCol w:w="1529"/>
      </w:tblGrid>
      <w:tr>
        <w:tblPrEx>
          <w:tblCellMar>
            <w:top w:w="0" w:type="dxa"/>
            <w:left w:w="108" w:type="dxa"/>
            <w:bottom w:w="0" w:type="dxa"/>
            <w:right w:w="108" w:type="dxa"/>
          </w:tblCellMar>
        </w:tblPrEx>
        <w:trPr>
          <w:trHeight w:val="285" w:hRule="atLeast"/>
        </w:trPr>
        <w:tc>
          <w:tcPr>
            <w:tcW w:w="2680" w:type="dxa"/>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行政复议</w:t>
            </w:r>
          </w:p>
        </w:tc>
        <w:tc>
          <w:tcPr>
            <w:tcW w:w="6549" w:type="dxa"/>
            <w:gridSpan w:val="10"/>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行政诉讼</w:t>
            </w:r>
          </w:p>
        </w:tc>
      </w:tr>
      <w:tr>
        <w:tblPrEx>
          <w:tblCellMar>
            <w:top w:w="0" w:type="dxa"/>
            <w:left w:w="108" w:type="dxa"/>
            <w:bottom w:w="0" w:type="dxa"/>
            <w:right w:w="108" w:type="dxa"/>
          </w:tblCellMar>
        </w:tblPrEx>
        <w:trPr>
          <w:trHeight w:val="285" w:hRule="atLeast"/>
        </w:trPr>
        <w:tc>
          <w:tcPr>
            <w:tcW w:w="50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结果维持</w:t>
            </w:r>
          </w:p>
        </w:tc>
        <w:tc>
          <w:tcPr>
            <w:tcW w:w="54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结果纠正</w:t>
            </w:r>
          </w:p>
        </w:tc>
        <w:tc>
          <w:tcPr>
            <w:tcW w:w="58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其他结果</w:t>
            </w:r>
          </w:p>
        </w:tc>
        <w:tc>
          <w:tcPr>
            <w:tcW w:w="52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尚未审结</w:t>
            </w:r>
          </w:p>
        </w:tc>
        <w:tc>
          <w:tcPr>
            <w:tcW w:w="54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总计</w:t>
            </w:r>
          </w:p>
        </w:tc>
        <w:tc>
          <w:tcPr>
            <w:tcW w:w="2800" w:type="dxa"/>
            <w:gridSpan w:val="5"/>
            <w:tcBorders>
              <w:top w:val="single" w:color="auto" w:sz="8" w:space="0"/>
              <w:left w:val="nil"/>
              <w:bottom w:val="single" w:color="auto" w:sz="8" w:space="0"/>
              <w:right w:val="single" w:color="000000" w:sz="8" w:space="0"/>
            </w:tcBorders>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未经复议直接起诉</w:t>
            </w:r>
          </w:p>
        </w:tc>
        <w:tc>
          <w:tcPr>
            <w:tcW w:w="3749" w:type="dxa"/>
            <w:gridSpan w:val="5"/>
            <w:tcBorders>
              <w:top w:val="single" w:color="auto" w:sz="8" w:space="0"/>
              <w:left w:val="nil"/>
              <w:bottom w:val="single" w:color="auto" w:sz="8" w:space="0"/>
              <w:right w:val="single" w:color="000000" w:sz="8" w:space="0"/>
            </w:tcBorders>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复议后起诉</w:t>
            </w:r>
          </w:p>
        </w:tc>
      </w:tr>
      <w:tr>
        <w:tblPrEx>
          <w:tblCellMar>
            <w:top w:w="0" w:type="dxa"/>
            <w:left w:w="108" w:type="dxa"/>
            <w:bottom w:w="0" w:type="dxa"/>
            <w:right w:w="108" w:type="dxa"/>
          </w:tblCellMar>
        </w:tblPrEx>
        <w:trPr>
          <w:trHeight w:val="465" w:hRule="atLeast"/>
        </w:trPr>
        <w:tc>
          <w:tcPr>
            <w:tcW w:w="500" w:type="dxa"/>
            <w:vMerge w:val="continue"/>
            <w:tcBorders>
              <w:top w:val="nil"/>
              <w:left w:val="single" w:color="auto" w:sz="8" w:space="0"/>
              <w:bottom w:val="single" w:color="000000" w:sz="8" w:space="0"/>
              <w:right w:val="single" w:color="auto" w:sz="8" w:space="0"/>
            </w:tcBorders>
            <w:vAlign w:val="center"/>
          </w:tcPr>
          <w:p>
            <w:pPr>
              <w:widowControl/>
              <w:spacing w:line="280" w:lineRule="exact"/>
              <w:jc w:val="left"/>
              <w:rPr>
                <w:rFonts w:ascii="宋体" w:hAnsi="宋体" w:cs="宋体"/>
                <w:color w:val="000000"/>
                <w:kern w:val="0"/>
                <w:sz w:val="20"/>
                <w:szCs w:val="20"/>
              </w:rPr>
            </w:pPr>
          </w:p>
        </w:tc>
        <w:tc>
          <w:tcPr>
            <w:tcW w:w="540" w:type="dxa"/>
            <w:vMerge w:val="continue"/>
            <w:tcBorders>
              <w:top w:val="nil"/>
              <w:left w:val="single" w:color="auto" w:sz="8" w:space="0"/>
              <w:bottom w:val="single" w:color="000000" w:sz="8" w:space="0"/>
              <w:right w:val="single" w:color="auto" w:sz="8" w:space="0"/>
            </w:tcBorders>
            <w:vAlign w:val="center"/>
          </w:tcPr>
          <w:p>
            <w:pPr>
              <w:widowControl/>
              <w:spacing w:line="280" w:lineRule="exact"/>
              <w:jc w:val="left"/>
              <w:rPr>
                <w:rFonts w:ascii="宋体" w:hAnsi="宋体" w:cs="宋体"/>
                <w:color w:val="000000"/>
                <w:kern w:val="0"/>
                <w:sz w:val="20"/>
                <w:szCs w:val="20"/>
              </w:rPr>
            </w:pPr>
          </w:p>
        </w:tc>
        <w:tc>
          <w:tcPr>
            <w:tcW w:w="580" w:type="dxa"/>
            <w:vMerge w:val="continue"/>
            <w:tcBorders>
              <w:top w:val="nil"/>
              <w:left w:val="single" w:color="auto" w:sz="8" w:space="0"/>
              <w:bottom w:val="single" w:color="000000" w:sz="8" w:space="0"/>
              <w:right w:val="single" w:color="auto" w:sz="8" w:space="0"/>
            </w:tcBorders>
            <w:vAlign w:val="center"/>
          </w:tcPr>
          <w:p>
            <w:pPr>
              <w:widowControl/>
              <w:spacing w:line="280" w:lineRule="exact"/>
              <w:jc w:val="left"/>
              <w:rPr>
                <w:rFonts w:ascii="宋体" w:hAnsi="宋体" w:cs="宋体"/>
                <w:color w:val="000000"/>
                <w:kern w:val="0"/>
                <w:sz w:val="20"/>
                <w:szCs w:val="20"/>
              </w:rPr>
            </w:pPr>
          </w:p>
        </w:tc>
        <w:tc>
          <w:tcPr>
            <w:tcW w:w="520" w:type="dxa"/>
            <w:vMerge w:val="continue"/>
            <w:tcBorders>
              <w:top w:val="nil"/>
              <w:left w:val="single" w:color="auto" w:sz="8" w:space="0"/>
              <w:bottom w:val="single" w:color="000000" w:sz="8" w:space="0"/>
              <w:right w:val="single" w:color="auto" w:sz="8" w:space="0"/>
            </w:tcBorders>
            <w:vAlign w:val="center"/>
          </w:tcPr>
          <w:p>
            <w:pPr>
              <w:widowControl/>
              <w:spacing w:line="280" w:lineRule="exact"/>
              <w:jc w:val="left"/>
              <w:rPr>
                <w:rFonts w:ascii="宋体" w:hAnsi="宋体" w:cs="宋体"/>
                <w:color w:val="000000"/>
                <w:kern w:val="0"/>
                <w:sz w:val="20"/>
                <w:szCs w:val="20"/>
              </w:rPr>
            </w:pPr>
          </w:p>
        </w:tc>
        <w:tc>
          <w:tcPr>
            <w:tcW w:w="540" w:type="dxa"/>
            <w:vMerge w:val="continue"/>
            <w:tcBorders>
              <w:top w:val="nil"/>
              <w:left w:val="single" w:color="auto" w:sz="8" w:space="0"/>
              <w:bottom w:val="single" w:color="000000" w:sz="8" w:space="0"/>
              <w:right w:val="single" w:color="auto" w:sz="8" w:space="0"/>
            </w:tcBorders>
            <w:vAlign w:val="center"/>
          </w:tcPr>
          <w:p>
            <w:pPr>
              <w:widowControl/>
              <w:spacing w:line="280" w:lineRule="exact"/>
              <w:jc w:val="left"/>
              <w:rPr>
                <w:rFonts w:ascii="宋体" w:hAnsi="宋体" w:cs="宋体"/>
                <w:color w:val="000000"/>
                <w:kern w:val="0"/>
                <w:sz w:val="20"/>
                <w:szCs w:val="20"/>
              </w:rPr>
            </w:pPr>
          </w:p>
        </w:tc>
        <w:tc>
          <w:tcPr>
            <w:tcW w:w="58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结果维持</w:t>
            </w:r>
          </w:p>
        </w:tc>
        <w:tc>
          <w:tcPr>
            <w:tcW w:w="56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结果纠正</w:t>
            </w:r>
          </w:p>
        </w:tc>
        <w:tc>
          <w:tcPr>
            <w:tcW w:w="56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其他结果</w:t>
            </w:r>
          </w:p>
        </w:tc>
        <w:tc>
          <w:tcPr>
            <w:tcW w:w="60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尚未审结</w:t>
            </w:r>
          </w:p>
        </w:tc>
        <w:tc>
          <w:tcPr>
            <w:tcW w:w="50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总计</w:t>
            </w:r>
          </w:p>
        </w:tc>
        <w:tc>
          <w:tcPr>
            <w:tcW w:w="54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结果维持</w:t>
            </w:r>
          </w:p>
        </w:tc>
        <w:tc>
          <w:tcPr>
            <w:tcW w:w="52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结果纠正</w:t>
            </w:r>
          </w:p>
        </w:tc>
        <w:tc>
          <w:tcPr>
            <w:tcW w:w="58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其他结果</w:t>
            </w:r>
          </w:p>
        </w:tc>
        <w:tc>
          <w:tcPr>
            <w:tcW w:w="58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尚未审结</w:t>
            </w:r>
          </w:p>
        </w:tc>
        <w:tc>
          <w:tcPr>
            <w:tcW w:w="1529"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总计</w:t>
            </w:r>
          </w:p>
        </w:tc>
      </w:tr>
      <w:tr>
        <w:tblPrEx>
          <w:tblCellMar>
            <w:top w:w="0" w:type="dxa"/>
            <w:left w:w="108" w:type="dxa"/>
            <w:bottom w:w="0" w:type="dxa"/>
            <w:right w:w="108" w:type="dxa"/>
          </w:tblCellMar>
        </w:tblPrEx>
        <w:trPr>
          <w:trHeight w:val="285" w:hRule="atLeast"/>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spacing w:line="280" w:lineRule="exact"/>
              <w:jc w:val="center"/>
              <w:rPr>
                <w:rFonts w:cs="宋体"/>
                <w:color w:val="000000"/>
                <w:kern w:val="0"/>
                <w:sz w:val="20"/>
                <w:szCs w:val="20"/>
              </w:rPr>
            </w:pPr>
            <w:r>
              <w:rPr>
                <w:rFonts w:hint="eastAsia" w:cs="宋体"/>
                <w:color w:val="000000"/>
                <w:kern w:val="0"/>
                <w:sz w:val="20"/>
                <w:szCs w:val="20"/>
              </w:rPr>
              <w:t>0</w:t>
            </w:r>
          </w:p>
        </w:tc>
        <w:tc>
          <w:tcPr>
            <w:tcW w:w="54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cs="宋体"/>
                <w:color w:val="000000"/>
                <w:kern w:val="0"/>
                <w:sz w:val="20"/>
                <w:szCs w:val="20"/>
              </w:rPr>
            </w:pPr>
            <w:r>
              <w:rPr>
                <w:rFonts w:cs="宋体"/>
                <w:color w:val="000000"/>
                <w:kern w:val="0"/>
                <w:sz w:val="20"/>
                <w:szCs w:val="20"/>
              </w:rPr>
              <w:t>0</w:t>
            </w:r>
          </w:p>
        </w:tc>
        <w:tc>
          <w:tcPr>
            <w:tcW w:w="58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cs="宋体"/>
                <w:color w:val="000000"/>
                <w:kern w:val="0"/>
                <w:sz w:val="20"/>
                <w:szCs w:val="20"/>
              </w:rPr>
            </w:pPr>
            <w:r>
              <w:rPr>
                <w:rFonts w:cs="宋体"/>
                <w:color w:val="000000"/>
                <w:kern w:val="0"/>
                <w:sz w:val="20"/>
                <w:szCs w:val="20"/>
              </w:rPr>
              <w:t>0</w:t>
            </w:r>
          </w:p>
        </w:tc>
        <w:tc>
          <w:tcPr>
            <w:tcW w:w="52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cs="宋体"/>
                <w:color w:val="000000"/>
                <w:kern w:val="0"/>
                <w:sz w:val="20"/>
                <w:szCs w:val="20"/>
              </w:rPr>
            </w:pPr>
            <w:r>
              <w:rPr>
                <w:rFonts w:cs="宋体"/>
                <w:color w:val="000000"/>
                <w:kern w:val="0"/>
                <w:sz w:val="20"/>
                <w:szCs w:val="20"/>
              </w:rPr>
              <w:t>0</w:t>
            </w:r>
          </w:p>
        </w:tc>
        <w:tc>
          <w:tcPr>
            <w:tcW w:w="54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cs="宋体"/>
                <w:color w:val="000000"/>
                <w:kern w:val="0"/>
                <w:sz w:val="20"/>
                <w:szCs w:val="20"/>
              </w:rPr>
            </w:pPr>
            <w:r>
              <w:rPr>
                <w:rFonts w:cs="宋体"/>
                <w:color w:val="000000"/>
                <w:kern w:val="0"/>
                <w:sz w:val="20"/>
                <w:szCs w:val="20"/>
              </w:rPr>
              <w:t>0</w:t>
            </w:r>
          </w:p>
        </w:tc>
        <w:tc>
          <w:tcPr>
            <w:tcW w:w="58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cs="宋体"/>
                <w:color w:val="000000"/>
                <w:kern w:val="0"/>
                <w:sz w:val="20"/>
                <w:szCs w:val="20"/>
              </w:rPr>
            </w:pPr>
            <w:r>
              <w:rPr>
                <w:rFonts w:cs="宋体"/>
                <w:color w:val="000000"/>
                <w:kern w:val="0"/>
                <w:sz w:val="20"/>
                <w:szCs w:val="20"/>
              </w:rPr>
              <w:t>0</w:t>
            </w:r>
          </w:p>
        </w:tc>
        <w:tc>
          <w:tcPr>
            <w:tcW w:w="56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cs="宋体"/>
                <w:color w:val="000000"/>
                <w:kern w:val="0"/>
                <w:sz w:val="20"/>
                <w:szCs w:val="20"/>
              </w:rPr>
            </w:pPr>
            <w:r>
              <w:rPr>
                <w:rFonts w:cs="宋体"/>
                <w:color w:val="000000"/>
                <w:kern w:val="0"/>
                <w:sz w:val="20"/>
                <w:szCs w:val="20"/>
              </w:rPr>
              <w:t>0</w:t>
            </w:r>
          </w:p>
        </w:tc>
        <w:tc>
          <w:tcPr>
            <w:tcW w:w="56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cs="宋体"/>
                <w:color w:val="000000"/>
                <w:kern w:val="0"/>
                <w:sz w:val="20"/>
                <w:szCs w:val="20"/>
              </w:rPr>
            </w:pPr>
            <w:r>
              <w:rPr>
                <w:rFonts w:cs="宋体"/>
                <w:color w:val="000000"/>
                <w:kern w:val="0"/>
                <w:sz w:val="20"/>
                <w:szCs w:val="20"/>
              </w:rPr>
              <w:t>0</w:t>
            </w:r>
          </w:p>
        </w:tc>
        <w:tc>
          <w:tcPr>
            <w:tcW w:w="60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cs="宋体"/>
                <w:color w:val="000000"/>
                <w:kern w:val="0"/>
                <w:sz w:val="20"/>
                <w:szCs w:val="20"/>
              </w:rPr>
            </w:pPr>
            <w:r>
              <w:rPr>
                <w:rFonts w:cs="宋体"/>
                <w:color w:val="000000"/>
                <w:kern w:val="0"/>
                <w:sz w:val="20"/>
                <w:szCs w:val="20"/>
              </w:rPr>
              <w:t>0</w:t>
            </w:r>
          </w:p>
        </w:tc>
        <w:tc>
          <w:tcPr>
            <w:tcW w:w="50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cs="宋体"/>
                <w:color w:val="000000"/>
                <w:kern w:val="0"/>
                <w:sz w:val="20"/>
                <w:szCs w:val="20"/>
              </w:rPr>
            </w:pPr>
            <w:r>
              <w:rPr>
                <w:rFonts w:cs="宋体"/>
                <w:color w:val="000000"/>
                <w:kern w:val="0"/>
                <w:sz w:val="20"/>
                <w:szCs w:val="20"/>
              </w:rPr>
              <w:t>0</w:t>
            </w:r>
          </w:p>
        </w:tc>
        <w:tc>
          <w:tcPr>
            <w:tcW w:w="54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cs="宋体"/>
                <w:color w:val="000000"/>
                <w:kern w:val="0"/>
                <w:sz w:val="20"/>
                <w:szCs w:val="20"/>
              </w:rPr>
            </w:pPr>
            <w:r>
              <w:rPr>
                <w:rFonts w:cs="宋体"/>
                <w:color w:val="000000"/>
                <w:kern w:val="0"/>
                <w:sz w:val="20"/>
                <w:szCs w:val="20"/>
              </w:rPr>
              <w:t>0</w:t>
            </w:r>
          </w:p>
        </w:tc>
        <w:tc>
          <w:tcPr>
            <w:tcW w:w="52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cs="宋体"/>
                <w:color w:val="000000"/>
                <w:kern w:val="0"/>
                <w:sz w:val="20"/>
                <w:szCs w:val="20"/>
              </w:rPr>
            </w:pPr>
            <w:r>
              <w:rPr>
                <w:rFonts w:cs="宋体"/>
                <w:color w:val="000000"/>
                <w:kern w:val="0"/>
                <w:sz w:val="20"/>
                <w:szCs w:val="20"/>
              </w:rPr>
              <w:t>0</w:t>
            </w:r>
          </w:p>
        </w:tc>
        <w:tc>
          <w:tcPr>
            <w:tcW w:w="58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cs="宋体"/>
                <w:color w:val="000000"/>
                <w:kern w:val="0"/>
                <w:sz w:val="20"/>
                <w:szCs w:val="20"/>
              </w:rPr>
            </w:pPr>
            <w:r>
              <w:rPr>
                <w:rFonts w:cs="宋体"/>
                <w:color w:val="000000"/>
                <w:kern w:val="0"/>
                <w:sz w:val="20"/>
                <w:szCs w:val="20"/>
              </w:rPr>
              <w:t>0</w:t>
            </w:r>
          </w:p>
        </w:tc>
        <w:tc>
          <w:tcPr>
            <w:tcW w:w="580"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cs="宋体"/>
                <w:color w:val="000000"/>
                <w:kern w:val="0"/>
                <w:sz w:val="20"/>
                <w:szCs w:val="20"/>
              </w:rPr>
            </w:pPr>
            <w:r>
              <w:rPr>
                <w:rFonts w:cs="宋体"/>
                <w:color w:val="000000"/>
                <w:kern w:val="0"/>
                <w:sz w:val="20"/>
                <w:szCs w:val="20"/>
              </w:rPr>
              <w:t>0</w:t>
            </w:r>
          </w:p>
        </w:tc>
        <w:tc>
          <w:tcPr>
            <w:tcW w:w="1529" w:type="dxa"/>
            <w:tcBorders>
              <w:top w:val="nil"/>
              <w:left w:val="nil"/>
              <w:bottom w:val="single" w:color="auto" w:sz="8" w:space="0"/>
              <w:right w:val="single" w:color="auto" w:sz="8" w:space="0"/>
            </w:tcBorders>
            <w:shd w:val="clear" w:color="auto" w:fill="auto"/>
            <w:vAlign w:val="center"/>
          </w:tcPr>
          <w:p>
            <w:pPr>
              <w:widowControl/>
              <w:spacing w:line="280" w:lineRule="exact"/>
              <w:jc w:val="center"/>
              <w:rPr>
                <w:rFonts w:cs="宋体"/>
                <w:color w:val="000000"/>
                <w:kern w:val="0"/>
                <w:sz w:val="20"/>
                <w:szCs w:val="20"/>
              </w:rPr>
            </w:pPr>
            <w:r>
              <w:rPr>
                <w:rFonts w:cs="宋体"/>
                <w:color w:val="000000"/>
                <w:kern w:val="0"/>
                <w:sz w:val="20"/>
                <w:szCs w:val="20"/>
              </w:rPr>
              <w:t>0</w:t>
            </w:r>
          </w:p>
        </w:tc>
      </w:tr>
    </w:tbl>
    <w:p>
      <w:pPr>
        <w:ind w:firstLine="640" w:firstLineChars="200"/>
        <w:rPr>
          <w:rFonts w:ascii="黑体" w:hAnsi="黑体" w:eastAsia="黑体" w:cs="黑体"/>
          <w:bCs/>
          <w:sz w:val="32"/>
          <w:szCs w:val="32"/>
        </w:rPr>
      </w:pPr>
      <w:r>
        <w:rPr>
          <w:rFonts w:hint="eastAsia" w:ascii="黑体" w:hAnsi="黑体" w:eastAsia="黑体" w:cs="黑体"/>
          <w:bCs/>
          <w:sz w:val="32"/>
          <w:szCs w:val="32"/>
        </w:rPr>
        <w:t>五、存在的问题与下一步工作计划</w:t>
      </w:r>
    </w:p>
    <w:p>
      <w:pPr>
        <w:ind w:firstLine="645"/>
        <w:rPr>
          <w:rFonts w:ascii="仿宋_GB2312" w:eastAsia="仿宋_GB2312"/>
          <w:sz w:val="32"/>
          <w:szCs w:val="32"/>
        </w:rPr>
      </w:pPr>
      <w:r>
        <w:rPr>
          <w:rFonts w:hint="eastAsia" w:ascii="Times New Roman" w:hAnsi="Times New Roman" w:eastAsia="仿宋_GB2312"/>
          <w:sz w:val="32"/>
          <w:szCs w:val="32"/>
        </w:rPr>
        <w:t>政府信息公开工作是一</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rPr>
        <w:t>系统工程，涉及面广，专业性</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实效性强。目前</w:t>
      </w:r>
      <w:r>
        <w:rPr>
          <w:rFonts w:hint="eastAsia" w:ascii="Times New Roman" w:hAnsi="Times New Roman" w:eastAsia="仿宋_GB2312"/>
          <w:sz w:val="32"/>
          <w:szCs w:val="32"/>
          <w:lang w:val="en-US" w:eastAsia="zh-CN"/>
        </w:rPr>
        <w:t>还</w:t>
      </w:r>
      <w:r>
        <w:rPr>
          <w:rFonts w:hint="eastAsia" w:ascii="Times New Roman" w:hAnsi="Times New Roman" w:eastAsia="仿宋_GB2312"/>
          <w:sz w:val="32"/>
          <w:szCs w:val="32"/>
        </w:rPr>
        <w:t>存在工作</w:t>
      </w:r>
      <w:r>
        <w:rPr>
          <w:rFonts w:hint="eastAsia" w:ascii="Times New Roman" w:hAnsi="Times New Roman" w:eastAsia="仿宋_GB2312"/>
          <w:sz w:val="32"/>
          <w:szCs w:val="32"/>
          <w:lang w:val="en-US" w:eastAsia="zh-CN"/>
        </w:rPr>
        <w:t>人员</w:t>
      </w:r>
      <w:r>
        <w:rPr>
          <w:rFonts w:hint="eastAsia" w:ascii="Times New Roman" w:hAnsi="Times New Roman" w:eastAsia="仿宋_GB2312"/>
          <w:sz w:val="32"/>
          <w:szCs w:val="32"/>
        </w:rPr>
        <w:t>相对短缺等问题。下一步，</w:t>
      </w:r>
      <w:r>
        <w:rPr>
          <w:rFonts w:hint="eastAsia" w:ascii="Times New Roman" w:hAnsi="Times New Roman" w:eastAsia="仿宋_GB2312"/>
          <w:sz w:val="32"/>
          <w:szCs w:val="32"/>
          <w:lang w:eastAsia="zh-CN"/>
        </w:rPr>
        <w:t>省卫生健康委</w:t>
      </w:r>
      <w:r>
        <w:rPr>
          <w:rFonts w:hint="eastAsia" w:ascii="Times New Roman" w:hAnsi="Times New Roman" w:eastAsia="仿宋_GB2312"/>
          <w:sz w:val="32"/>
          <w:szCs w:val="32"/>
        </w:rPr>
        <w:t>将</w:t>
      </w:r>
      <w:r>
        <w:rPr>
          <w:rFonts w:hint="eastAsia" w:ascii="Times New Roman" w:hAnsi="Times New Roman" w:eastAsia="仿宋_GB2312"/>
          <w:sz w:val="32"/>
          <w:szCs w:val="32"/>
          <w:lang w:val="en-US" w:eastAsia="zh-CN"/>
        </w:rPr>
        <w:t>进一步</w:t>
      </w:r>
      <w:r>
        <w:rPr>
          <w:rFonts w:hint="eastAsia" w:ascii="Times New Roman" w:hAnsi="Times New Roman" w:eastAsia="仿宋_GB2312"/>
          <w:sz w:val="32"/>
          <w:szCs w:val="32"/>
        </w:rPr>
        <w:t>加强人员队伍建设，继续强化学习培训，</w:t>
      </w:r>
      <w:r>
        <w:rPr>
          <w:rFonts w:hint="eastAsia" w:ascii="Times New Roman" w:hAnsi="Times New Roman" w:eastAsia="仿宋_GB2312"/>
          <w:sz w:val="32"/>
          <w:szCs w:val="32"/>
          <w:lang w:val="en-US" w:eastAsia="zh-CN"/>
        </w:rPr>
        <w:t>深入</w:t>
      </w:r>
      <w:r>
        <w:rPr>
          <w:rFonts w:hint="eastAsia" w:ascii="Times New Roman" w:hAnsi="Times New Roman" w:eastAsia="仿宋_GB2312"/>
          <w:sz w:val="32"/>
          <w:szCs w:val="32"/>
        </w:rPr>
        <w:t>开展技术交流，用好督导考核手段，切实提升政务公开工作水平。</w:t>
      </w:r>
    </w:p>
    <w:p>
      <w:pPr>
        <w:ind w:firstLine="645"/>
        <w:rPr>
          <w:rFonts w:ascii="黑体" w:hAnsi="黑体" w:eastAsia="黑体" w:cs="黑体"/>
          <w:color w:val="333333"/>
          <w:kern w:val="0"/>
          <w:sz w:val="32"/>
          <w:szCs w:val="32"/>
        </w:rPr>
      </w:pPr>
      <w:r>
        <w:rPr>
          <w:rFonts w:hint="eastAsia" w:ascii="黑体" w:hAnsi="黑体" w:eastAsia="黑体" w:cs="黑体"/>
          <w:color w:val="333333"/>
          <w:kern w:val="0"/>
          <w:sz w:val="32"/>
          <w:szCs w:val="32"/>
        </w:rPr>
        <w:t>六、其他需要报告的事项</w:t>
      </w:r>
    </w:p>
    <w:p>
      <w:pPr>
        <w:spacing w:line="578" w:lineRule="exact"/>
        <w:ind w:firstLine="640" w:firstLineChars="200"/>
        <w:rPr>
          <w:rFonts w:ascii="仿宋_GB2312" w:eastAsia="仿宋_GB2312"/>
          <w:sz w:val="32"/>
          <w:szCs w:val="32"/>
        </w:rPr>
      </w:pPr>
      <w:r>
        <w:rPr>
          <w:rFonts w:hint="eastAsia" w:ascii="仿宋_GB2312" w:hAnsi="宋体" w:eastAsia="仿宋_GB2312" w:cs="宋体"/>
          <w:color w:val="333333"/>
          <w:kern w:val="0"/>
          <w:sz w:val="32"/>
          <w:szCs w:val="32"/>
        </w:rPr>
        <w:t>无。</w:t>
      </w:r>
    </w:p>
    <w:p>
      <w:pPr>
        <w:spacing w:line="578" w:lineRule="exact"/>
        <w:rPr>
          <w:rFonts w:ascii="仿宋_GB2312" w:eastAsia="仿宋_GB2312"/>
          <w:sz w:val="32"/>
          <w:szCs w:val="32"/>
        </w:rPr>
      </w:pP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385346"/>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ZjMyNDRkZDNmYzYxNjJhNzAyZTZjYjA3YzM2YzQifQ=="/>
  </w:docVars>
  <w:rsids>
    <w:rsidRoot w:val="006947DA"/>
    <w:rsid w:val="00047436"/>
    <w:rsid w:val="00077EB3"/>
    <w:rsid w:val="000D1ECB"/>
    <w:rsid w:val="00130D52"/>
    <w:rsid w:val="00154882"/>
    <w:rsid w:val="00175843"/>
    <w:rsid w:val="001D12E1"/>
    <w:rsid w:val="001E6F92"/>
    <w:rsid w:val="00206876"/>
    <w:rsid w:val="0023213D"/>
    <w:rsid w:val="0023360F"/>
    <w:rsid w:val="002672A6"/>
    <w:rsid w:val="002A75A9"/>
    <w:rsid w:val="002C2B5F"/>
    <w:rsid w:val="002D6823"/>
    <w:rsid w:val="003103EE"/>
    <w:rsid w:val="00350B23"/>
    <w:rsid w:val="00356A4B"/>
    <w:rsid w:val="00374D08"/>
    <w:rsid w:val="003757DF"/>
    <w:rsid w:val="00391049"/>
    <w:rsid w:val="00391EBA"/>
    <w:rsid w:val="003A21F7"/>
    <w:rsid w:val="003D5560"/>
    <w:rsid w:val="004314B8"/>
    <w:rsid w:val="0043606C"/>
    <w:rsid w:val="004810DB"/>
    <w:rsid w:val="004A5756"/>
    <w:rsid w:val="005059BC"/>
    <w:rsid w:val="00520328"/>
    <w:rsid w:val="00550BBD"/>
    <w:rsid w:val="00585438"/>
    <w:rsid w:val="005C0575"/>
    <w:rsid w:val="005E1DC8"/>
    <w:rsid w:val="006029BF"/>
    <w:rsid w:val="00616C4E"/>
    <w:rsid w:val="00617BA9"/>
    <w:rsid w:val="00644898"/>
    <w:rsid w:val="00646797"/>
    <w:rsid w:val="006768EE"/>
    <w:rsid w:val="006776AC"/>
    <w:rsid w:val="006940C0"/>
    <w:rsid w:val="006947DA"/>
    <w:rsid w:val="006C3A8A"/>
    <w:rsid w:val="006C6D57"/>
    <w:rsid w:val="006F344E"/>
    <w:rsid w:val="0072108B"/>
    <w:rsid w:val="00756C7E"/>
    <w:rsid w:val="007647FB"/>
    <w:rsid w:val="00790F27"/>
    <w:rsid w:val="007C393D"/>
    <w:rsid w:val="007E48BD"/>
    <w:rsid w:val="0084317D"/>
    <w:rsid w:val="00846793"/>
    <w:rsid w:val="00846D02"/>
    <w:rsid w:val="008503B7"/>
    <w:rsid w:val="00874686"/>
    <w:rsid w:val="00886C61"/>
    <w:rsid w:val="00887878"/>
    <w:rsid w:val="008A2E3E"/>
    <w:rsid w:val="008D12D3"/>
    <w:rsid w:val="008E22A6"/>
    <w:rsid w:val="00927104"/>
    <w:rsid w:val="0094607E"/>
    <w:rsid w:val="009467CB"/>
    <w:rsid w:val="009703C5"/>
    <w:rsid w:val="009B3F46"/>
    <w:rsid w:val="009C0D72"/>
    <w:rsid w:val="00A10E60"/>
    <w:rsid w:val="00A14B23"/>
    <w:rsid w:val="00A23490"/>
    <w:rsid w:val="00A52190"/>
    <w:rsid w:val="00A548F4"/>
    <w:rsid w:val="00A72C8F"/>
    <w:rsid w:val="00A772E6"/>
    <w:rsid w:val="00AB62B1"/>
    <w:rsid w:val="00AF0F4A"/>
    <w:rsid w:val="00AF6606"/>
    <w:rsid w:val="00B16168"/>
    <w:rsid w:val="00B467C8"/>
    <w:rsid w:val="00B80C11"/>
    <w:rsid w:val="00B86C7C"/>
    <w:rsid w:val="00BC279D"/>
    <w:rsid w:val="00BF7BA9"/>
    <w:rsid w:val="00C0394E"/>
    <w:rsid w:val="00C126B5"/>
    <w:rsid w:val="00C172C4"/>
    <w:rsid w:val="00C21133"/>
    <w:rsid w:val="00C368CD"/>
    <w:rsid w:val="00C4719F"/>
    <w:rsid w:val="00C71266"/>
    <w:rsid w:val="00C82D34"/>
    <w:rsid w:val="00CB2C03"/>
    <w:rsid w:val="00CC0C55"/>
    <w:rsid w:val="00CC5BC2"/>
    <w:rsid w:val="00CC724E"/>
    <w:rsid w:val="00D0590C"/>
    <w:rsid w:val="00D12E43"/>
    <w:rsid w:val="00D22B0A"/>
    <w:rsid w:val="00D53932"/>
    <w:rsid w:val="00D606E2"/>
    <w:rsid w:val="00D64DA9"/>
    <w:rsid w:val="00D72F19"/>
    <w:rsid w:val="00D77046"/>
    <w:rsid w:val="00DC21DF"/>
    <w:rsid w:val="00DD66C6"/>
    <w:rsid w:val="00EC6E41"/>
    <w:rsid w:val="00EC7C0C"/>
    <w:rsid w:val="00F06118"/>
    <w:rsid w:val="00F11FC9"/>
    <w:rsid w:val="00F22565"/>
    <w:rsid w:val="00F26B77"/>
    <w:rsid w:val="00F4005A"/>
    <w:rsid w:val="00F9007C"/>
    <w:rsid w:val="00F9368A"/>
    <w:rsid w:val="00FA0F13"/>
    <w:rsid w:val="00FA6B0E"/>
    <w:rsid w:val="00FB6D79"/>
    <w:rsid w:val="00FD6886"/>
    <w:rsid w:val="050E3F18"/>
    <w:rsid w:val="05D46D62"/>
    <w:rsid w:val="0C9A0E4A"/>
    <w:rsid w:val="0CF46A08"/>
    <w:rsid w:val="0E440B0A"/>
    <w:rsid w:val="11283077"/>
    <w:rsid w:val="15662207"/>
    <w:rsid w:val="1879457B"/>
    <w:rsid w:val="19DC7772"/>
    <w:rsid w:val="1BC718CF"/>
    <w:rsid w:val="1BF22311"/>
    <w:rsid w:val="1C047090"/>
    <w:rsid w:val="1D7D5381"/>
    <w:rsid w:val="1E71792D"/>
    <w:rsid w:val="240B65DA"/>
    <w:rsid w:val="2B231E21"/>
    <w:rsid w:val="2C370CE4"/>
    <w:rsid w:val="2EC4717F"/>
    <w:rsid w:val="2F771696"/>
    <w:rsid w:val="30B17B88"/>
    <w:rsid w:val="36012E55"/>
    <w:rsid w:val="36935751"/>
    <w:rsid w:val="36E36898"/>
    <w:rsid w:val="3BEEDF33"/>
    <w:rsid w:val="3C9C3EF7"/>
    <w:rsid w:val="40C61775"/>
    <w:rsid w:val="426905A4"/>
    <w:rsid w:val="455366D7"/>
    <w:rsid w:val="45BF236E"/>
    <w:rsid w:val="479B1FAB"/>
    <w:rsid w:val="48E90C2F"/>
    <w:rsid w:val="49FA907A"/>
    <w:rsid w:val="4CC357D5"/>
    <w:rsid w:val="4DD11AAB"/>
    <w:rsid w:val="4E4C021E"/>
    <w:rsid w:val="4F945FF1"/>
    <w:rsid w:val="524153BA"/>
    <w:rsid w:val="53D44407"/>
    <w:rsid w:val="56FD0187"/>
    <w:rsid w:val="57AB56F8"/>
    <w:rsid w:val="590305E5"/>
    <w:rsid w:val="5A632AE4"/>
    <w:rsid w:val="5BFFD0E2"/>
    <w:rsid w:val="5C077D08"/>
    <w:rsid w:val="5EBF5FCF"/>
    <w:rsid w:val="5FAF1525"/>
    <w:rsid w:val="635D5511"/>
    <w:rsid w:val="63B7201F"/>
    <w:rsid w:val="64286F78"/>
    <w:rsid w:val="6567F5AC"/>
    <w:rsid w:val="668E8A21"/>
    <w:rsid w:val="66E813E3"/>
    <w:rsid w:val="6777CBD4"/>
    <w:rsid w:val="68F87155"/>
    <w:rsid w:val="6B1C7293"/>
    <w:rsid w:val="6D7EB772"/>
    <w:rsid w:val="6FEB2AF2"/>
    <w:rsid w:val="759AFFCD"/>
    <w:rsid w:val="766D3185"/>
    <w:rsid w:val="7C0841E1"/>
    <w:rsid w:val="7DB8BEB5"/>
    <w:rsid w:val="7E083FF7"/>
    <w:rsid w:val="7E7793EB"/>
    <w:rsid w:val="7F34F605"/>
    <w:rsid w:val="83FB09BD"/>
    <w:rsid w:val="977E6A35"/>
    <w:rsid w:val="AEFB479C"/>
    <w:rsid w:val="B3FB07DE"/>
    <w:rsid w:val="BFBDFDCA"/>
    <w:rsid w:val="DF2B9754"/>
    <w:rsid w:val="EEFF687E"/>
    <w:rsid w:val="F5916CF0"/>
    <w:rsid w:val="F7F5A7B7"/>
    <w:rsid w:val="F7FFBA40"/>
    <w:rsid w:val="F8FEFCFF"/>
    <w:rsid w:val="FFDF8193"/>
    <w:rsid w:val="FFFB2E92"/>
    <w:rsid w:val="FFFF2A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customStyle="1" w:styleId="9">
    <w:name w:val="标题 1 Char"/>
    <w:basedOn w:val="7"/>
    <w:link w:val="2"/>
    <w:qFormat/>
    <w:uiPriority w:val="9"/>
    <w:rPr>
      <w:rFonts w:ascii="Calibri" w:hAnsi="Calibri" w:eastAsia="宋体" w:cs="Times New Roman"/>
      <w:b/>
      <w:bCs/>
      <w:kern w:val="44"/>
      <w:sz w:val="44"/>
      <w:szCs w:val="44"/>
    </w:rPr>
  </w:style>
  <w:style w:type="paragraph" w:styleId="10">
    <w:name w:val="List Paragraph"/>
    <w:basedOn w:val="1"/>
    <w:qFormat/>
    <w:uiPriority w:val="34"/>
    <w:pPr>
      <w:ind w:firstLine="420" w:firstLineChars="200"/>
    </w:pPr>
  </w:style>
  <w:style w:type="paragraph" w:customStyle="1" w:styleId="11">
    <w:name w:val="Char Char Char Char"/>
    <w:basedOn w:val="1"/>
    <w:qFormat/>
    <w:uiPriority w:val="0"/>
    <w:pPr>
      <w:adjustRightInd w:val="0"/>
      <w:snapToGrid w:val="0"/>
      <w:spacing w:line="360" w:lineRule="auto"/>
      <w:ind w:left="96" w:leftChars="40" w:firstLine="200" w:firstLineChars="200"/>
      <w:jc w:val="left"/>
    </w:pPr>
    <w:rPr>
      <w:rFonts w:ascii="Times New Roman" w:hAnsi="宋体"/>
      <w:sz w:val="24"/>
      <w:szCs w:val="24"/>
    </w:rPr>
  </w:style>
  <w:style w:type="character" w:customStyle="1" w:styleId="12">
    <w:name w:val="页眉 Char"/>
    <w:basedOn w:val="7"/>
    <w:link w:val="5"/>
    <w:qFormat/>
    <w:uiPriority w:val="99"/>
    <w:rPr>
      <w:rFonts w:ascii="Calibri" w:hAnsi="Calibri" w:eastAsia="宋体" w:cs="Times New Roman"/>
      <w:sz w:val="18"/>
      <w:szCs w:val="18"/>
    </w:rPr>
  </w:style>
  <w:style w:type="character" w:customStyle="1" w:styleId="13">
    <w:name w:val="页脚 Char"/>
    <w:basedOn w:val="7"/>
    <w:link w:val="4"/>
    <w:qFormat/>
    <w:uiPriority w:val="99"/>
    <w:rPr>
      <w:rFonts w:ascii="Calibri" w:hAnsi="Calibri" w:eastAsia="宋体" w:cs="Times New Roman"/>
      <w:sz w:val="18"/>
      <w:szCs w:val="18"/>
    </w:rPr>
  </w:style>
  <w:style w:type="character" w:customStyle="1" w:styleId="14">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6275</Words>
  <Characters>6556</Characters>
  <Lines>55</Lines>
  <Paragraphs>15</Paragraphs>
  <TotalTime>46</TotalTime>
  <ScaleCrop>false</ScaleCrop>
  <LinksUpToDate>false</LinksUpToDate>
  <CharactersWithSpaces>6562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2022-02-14T17:27:00Z</dcterms:created>
  <dc:creator>张艳辉</dc:creator>
  <cp:lastModifiedBy>张润鑫（润泽万物财富丰足）</cp:lastModifiedBy>
  <cp:lastPrinted>2023-03-23T02:48:00Z</cp:lastPrinted>
  <dcterms:modified xsi:type="dcterms:W3CDTF">2023-03-28T02:42:17Z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9105090A63E54E09AF551B8F97CA8291</vt:lpwstr>
  </property>
</Properties>
</file>